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sz w:val="36"/>
          <w:szCs w:val="36"/>
        </w:rPr>
      </w:pPr>
      <w:r>
        <w:rPr>
          <w:rFonts w:hint="eastAsia" w:ascii="华文行楷" w:eastAsia="华文行楷"/>
          <w:sz w:val="36"/>
          <w:szCs w:val="36"/>
          <w:lang w:val="en-US" w:eastAsia="zh-CN"/>
        </w:rPr>
        <w:t xml:space="preserve"> </w:t>
      </w:r>
      <w:r>
        <w:rPr>
          <w:rFonts w:hint="eastAsia" w:ascii="华文行楷" w:eastAsia="华文行楷"/>
          <w:sz w:val="36"/>
          <w:szCs w:val="36"/>
        </w:rPr>
        <w:t>生物与制药工程学院</w:t>
      </w:r>
      <w:r>
        <w:rPr>
          <w:rFonts w:hint="eastAsia" w:ascii="黑体" w:eastAsia="黑体"/>
          <w:sz w:val="36"/>
          <w:szCs w:val="36"/>
        </w:rPr>
        <w:t>2020年博士研究生招生方案及录取办法</w:t>
      </w:r>
    </w:p>
    <w:p>
      <w:pPr>
        <w:numPr>
          <w:ilvl w:val="0"/>
          <w:numId w:val="1"/>
        </w:numPr>
        <w:spacing w:before="156" w:beforeLines="50" w:after="156" w:afterLines="50" w:line="280" w:lineRule="exact"/>
        <w:jc w:val="left"/>
        <w:rPr>
          <w:rFonts w:ascii="黑体" w:hAnsi="宋体" w:eastAsia="黑体"/>
          <w:sz w:val="28"/>
          <w:szCs w:val="28"/>
        </w:rPr>
      </w:pPr>
      <w:r>
        <w:rPr>
          <w:rFonts w:hint="eastAsia" w:ascii="黑体" w:hAnsi="宋体" w:eastAsia="黑体"/>
          <w:sz w:val="28"/>
          <w:szCs w:val="28"/>
        </w:rPr>
        <w:t>远程考核时间：</w:t>
      </w:r>
    </w:p>
    <w:p>
      <w:pPr>
        <w:spacing w:line="360" w:lineRule="auto"/>
        <w:ind w:left="195" w:leftChars="93" w:firstLine="240" w:firstLineChars="100"/>
        <w:rPr>
          <w:rFonts w:ascii="宋体" w:hAnsi="宋体"/>
          <w:sz w:val="24"/>
        </w:rPr>
      </w:pPr>
      <w:r>
        <w:rPr>
          <w:rFonts w:hint="eastAsia" w:ascii="宋体" w:hAnsi="宋体"/>
          <w:sz w:val="24"/>
        </w:rPr>
        <w:t>材料审核，根据学校统一通知要求时间。</w:t>
      </w:r>
    </w:p>
    <w:p>
      <w:pPr>
        <w:spacing w:line="360" w:lineRule="auto"/>
        <w:ind w:left="195" w:leftChars="93" w:firstLine="240" w:firstLineChars="100"/>
        <w:rPr>
          <w:rFonts w:ascii="宋体" w:hAnsi="宋体"/>
          <w:sz w:val="24"/>
          <w:highlight w:val="none"/>
        </w:rPr>
      </w:pPr>
      <w:r>
        <w:rPr>
          <w:rFonts w:hint="eastAsia" w:ascii="宋体" w:hAnsi="宋体"/>
          <w:sz w:val="24"/>
          <w:highlight w:val="none"/>
        </w:rPr>
        <w:t>初试：</w:t>
      </w:r>
      <w:r>
        <w:rPr>
          <w:rFonts w:ascii="宋体" w:hAnsi="宋体"/>
          <w:sz w:val="24"/>
          <w:highlight w:val="none"/>
        </w:rPr>
        <w:t>6</w:t>
      </w:r>
      <w:r>
        <w:rPr>
          <w:rFonts w:hint="eastAsia" w:ascii="宋体" w:hAnsi="宋体"/>
          <w:sz w:val="24"/>
          <w:highlight w:val="none"/>
        </w:rPr>
        <w:t>月1</w:t>
      </w:r>
      <w:r>
        <w:rPr>
          <w:rFonts w:hint="eastAsia" w:ascii="宋体" w:hAnsi="宋体"/>
          <w:sz w:val="24"/>
          <w:highlight w:val="none"/>
          <w:lang w:val="en-US" w:eastAsia="zh-CN"/>
        </w:rPr>
        <w:t>6</w:t>
      </w:r>
      <w:r>
        <w:rPr>
          <w:rFonts w:hint="eastAsia" w:ascii="宋体" w:hAnsi="宋体"/>
          <w:sz w:val="24"/>
          <w:highlight w:val="none"/>
        </w:rPr>
        <w:t>日</w:t>
      </w:r>
    </w:p>
    <w:p>
      <w:pPr>
        <w:spacing w:line="360" w:lineRule="auto"/>
        <w:ind w:left="195" w:leftChars="93" w:firstLine="240" w:firstLineChars="100"/>
        <w:rPr>
          <w:rFonts w:ascii="宋体" w:hAnsi="宋体"/>
          <w:sz w:val="24"/>
          <w:highlight w:val="none"/>
        </w:rPr>
      </w:pPr>
      <w:r>
        <w:rPr>
          <w:rFonts w:hint="eastAsia" w:ascii="宋体" w:hAnsi="宋体"/>
          <w:sz w:val="24"/>
          <w:highlight w:val="none"/>
        </w:rPr>
        <w:t>复试：6月2</w:t>
      </w:r>
      <w:r>
        <w:rPr>
          <w:rFonts w:ascii="宋体" w:hAnsi="宋体"/>
          <w:sz w:val="24"/>
          <w:highlight w:val="none"/>
        </w:rPr>
        <w:t>0</w:t>
      </w:r>
      <w:r>
        <w:rPr>
          <w:rFonts w:hint="eastAsia" w:ascii="宋体" w:hAnsi="宋体"/>
          <w:sz w:val="24"/>
          <w:highlight w:val="none"/>
        </w:rPr>
        <w:t>日</w:t>
      </w:r>
    </w:p>
    <w:p>
      <w:pPr>
        <w:spacing w:before="156" w:beforeLines="50" w:after="156" w:afterLines="50" w:line="280" w:lineRule="exact"/>
        <w:jc w:val="left"/>
        <w:rPr>
          <w:rFonts w:ascii="黑体" w:hAnsi="宋体" w:eastAsia="黑体"/>
          <w:sz w:val="28"/>
          <w:szCs w:val="28"/>
        </w:rPr>
      </w:pPr>
    </w:p>
    <w:p>
      <w:pPr>
        <w:spacing w:before="156" w:beforeLines="50" w:after="156" w:afterLines="50" w:line="280" w:lineRule="exact"/>
        <w:jc w:val="left"/>
        <w:rPr>
          <w:rFonts w:ascii="黑体" w:hAnsi="宋体" w:eastAsia="黑体"/>
          <w:sz w:val="28"/>
          <w:szCs w:val="28"/>
        </w:rPr>
      </w:pPr>
      <w:r>
        <w:rPr>
          <w:rFonts w:hint="eastAsia" w:ascii="黑体" w:hAnsi="宋体" w:eastAsia="黑体"/>
          <w:sz w:val="28"/>
          <w:szCs w:val="28"/>
        </w:rPr>
        <w:t>二、材料审核提交材料</w:t>
      </w:r>
    </w:p>
    <w:p>
      <w:pPr>
        <w:spacing w:line="520" w:lineRule="exact"/>
        <w:ind w:firstLine="480" w:firstLineChars="200"/>
        <w:rPr>
          <w:bCs/>
          <w:sz w:val="24"/>
        </w:rPr>
      </w:pPr>
      <w:r>
        <w:rPr>
          <w:bCs/>
          <w:sz w:val="24"/>
        </w:rPr>
        <w:t>考生于报名截止前向学院提交</w:t>
      </w:r>
      <w:r>
        <w:rPr>
          <w:rFonts w:hint="eastAsia"/>
          <w:bCs/>
          <w:sz w:val="24"/>
        </w:rPr>
        <w:t>如下材料：</w:t>
      </w:r>
    </w:p>
    <w:p>
      <w:pPr>
        <w:spacing w:line="520" w:lineRule="exact"/>
        <w:ind w:firstLine="480" w:firstLineChars="200"/>
        <w:rPr>
          <w:bCs/>
          <w:sz w:val="24"/>
        </w:rPr>
      </w:pPr>
      <w:r>
        <w:rPr>
          <w:bCs/>
          <w:sz w:val="24"/>
        </w:rPr>
        <w:t>1. 报名登记表原件</w:t>
      </w:r>
    </w:p>
    <w:p>
      <w:pPr>
        <w:spacing w:line="520" w:lineRule="exact"/>
        <w:ind w:firstLine="480" w:firstLineChars="200"/>
        <w:rPr>
          <w:bCs/>
          <w:sz w:val="24"/>
        </w:rPr>
      </w:pPr>
      <w:r>
        <w:rPr>
          <w:bCs/>
          <w:sz w:val="24"/>
        </w:rPr>
        <w:t>2. 英语水平证明材料复印件</w:t>
      </w:r>
    </w:p>
    <w:p>
      <w:pPr>
        <w:spacing w:line="520" w:lineRule="exact"/>
        <w:ind w:firstLine="480" w:firstLineChars="200"/>
        <w:rPr>
          <w:bCs/>
          <w:sz w:val="24"/>
        </w:rPr>
      </w:pPr>
      <w:r>
        <w:rPr>
          <w:bCs/>
          <w:sz w:val="24"/>
        </w:rPr>
        <w:t>3. 专家（两名以上）书面推荐信原件</w:t>
      </w:r>
    </w:p>
    <w:p>
      <w:pPr>
        <w:spacing w:line="520" w:lineRule="exact"/>
        <w:ind w:firstLine="480" w:firstLineChars="200"/>
        <w:rPr>
          <w:bCs/>
          <w:sz w:val="24"/>
        </w:rPr>
      </w:pPr>
      <w:r>
        <w:rPr>
          <w:bCs/>
          <w:sz w:val="24"/>
        </w:rPr>
        <w:t>4. 硕士期间成绩单原件</w:t>
      </w:r>
    </w:p>
    <w:p>
      <w:pPr>
        <w:spacing w:line="520" w:lineRule="exact"/>
        <w:ind w:firstLine="480" w:firstLineChars="200"/>
        <w:rPr>
          <w:bCs/>
          <w:sz w:val="24"/>
        </w:rPr>
      </w:pPr>
      <w:r>
        <w:rPr>
          <w:rFonts w:hint="eastAsia"/>
          <w:bCs/>
          <w:sz w:val="24"/>
        </w:rPr>
        <w:t>5</w:t>
      </w:r>
      <w:r>
        <w:rPr>
          <w:bCs/>
          <w:sz w:val="24"/>
        </w:rPr>
        <w:t>. 思想品德鉴定表原件</w:t>
      </w:r>
    </w:p>
    <w:p>
      <w:pPr>
        <w:spacing w:line="520" w:lineRule="exact"/>
        <w:ind w:firstLine="480" w:firstLineChars="200"/>
        <w:rPr>
          <w:bCs/>
          <w:sz w:val="24"/>
        </w:rPr>
      </w:pPr>
      <w:r>
        <w:rPr>
          <w:rFonts w:hint="eastAsia"/>
          <w:bCs/>
          <w:sz w:val="24"/>
        </w:rPr>
        <w:t>6</w:t>
      </w:r>
      <w:r>
        <w:rPr>
          <w:bCs/>
          <w:sz w:val="24"/>
        </w:rPr>
        <w:t>. 身份证复印件</w:t>
      </w:r>
    </w:p>
    <w:p>
      <w:pPr>
        <w:spacing w:line="520" w:lineRule="exact"/>
        <w:ind w:firstLine="480" w:firstLineChars="200"/>
        <w:rPr>
          <w:bCs/>
          <w:sz w:val="24"/>
        </w:rPr>
      </w:pPr>
      <w:r>
        <w:rPr>
          <w:rFonts w:hint="eastAsia"/>
          <w:bCs/>
          <w:sz w:val="24"/>
        </w:rPr>
        <w:t>7</w:t>
      </w:r>
      <w:r>
        <w:rPr>
          <w:bCs/>
          <w:sz w:val="24"/>
        </w:rPr>
        <w:t>. 学术成果材料复印件</w:t>
      </w:r>
    </w:p>
    <w:p>
      <w:pPr>
        <w:spacing w:line="520" w:lineRule="exact"/>
        <w:ind w:firstLine="480" w:firstLineChars="200"/>
        <w:rPr>
          <w:bCs/>
          <w:sz w:val="24"/>
        </w:rPr>
      </w:pPr>
      <w:r>
        <w:rPr>
          <w:rFonts w:hint="eastAsia"/>
          <w:bCs/>
          <w:sz w:val="24"/>
        </w:rPr>
        <w:t>8</w:t>
      </w:r>
      <w:r>
        <w:rPr>
          <w:bCs/>
          <w:sz w:val="24"/>
        </w:rPr>
        <w:t>. 往届生提交硕士学位论文全文，应届生提交硕士学位论文进展情况报告</w:t>
      </w:r>
    </w:p>
    <w:p>
      <w:pPr>
        <w:spacing w:line="520" w:lineRule="exact"/>
        <w:ind w:firstLine="480" w:firstLineChars="200"/>
        <w:rPr>
          <w:bCs/>
          <w:sz w:val="24"/>
        </w:rPr>
      </w:pPr>
      <w:r>
        <w:rPr>
          <w:bCs/>
          <w:sz w:val="24"/>
        </w:rPr>
        <w:t>9. 个人科研计划书一份（2000字左右，内容包括申请人已主持或参加的课题、取得的科研成果、获得的科研创新和表现出的科研能力与素养，未来的学习计划和研究方向）</w:t>
      </w:r>
    </w:p>
    <w:p>
      <w:pPr>
        <w:spacing w:line="520" w:lineRule="exact"/>
        <w:ind w:firstLine="480" w:firstLineChars="200"/>
        <w:rPr>
          <w:bCs/>
          <w:color w:val="000000"/>
          <w:sz w:val="24"/>
        </w:rPr>
      </w:pPr>
      <w:r>
        <w:rPr>
          <w:bCs/>
          <w:color w:val="000000"/>
          <w:sz w:val="24"/>
        </w:rPr>
        <w:t>考生需将上述材料放在《</w:t>
      </w:r>
      <w:r>
        <w:rPr>
          <w:rFonts w:hint="eastAsia"/>
          <w:bCs/>
          <w:color w:val="000000"/>
          <w:sz w:val="24"/>
        </w:rPr>
        <w:t>办法</w:t>
      </w:r>
      <w:r>
        <w:rPr>
          <w:bCs/>
          <w:color w:val="000000"/>
          <w:sz w:val="24"/>
        </w:rPr>
        <w:t>》规定的材料之后一并</w:t>
      </w:r>
      <w:r>
        <w:rPr>
          <w:rFonts w:hint="eastAsia"/>
          <w:bCs/>
          <w:color w:val="000000"/>
          <w:sz w:val="24"/>
        </w:rPr>
        <w:t>打包成PDF格式（做成类似论文合集的模式），包含目录，</w:t>
      </w:r>
      <w:r>
        <w:rPr>
          <w:bCs/>
          <w:color w:val="000000"/>
          <w:sz w:val="24"/>
        </w:rPr>
        <w:t>并在规定时间前</w:t>
      </w:r>
      <w:r>
        <w:rPr>
          <w:rFonts w:hint="eastAsia"/>
          <w:bCs/>
          <w:color w:val="000000"/>
          <w:sz w:val="24"/>
        </w:rPr>
        <w:t>在线提交资料。</w:t>
      </w:r>
    </w:p>
    <w:p>
      <w:pPr>
        <w:spacing w:line="520" w:lineRule="exact"/>
        <w:ind w:firstLine="480" w:firstLineChars="200"/>
        <w:rPr>
          <w:bCs/>
          <w:color w:val="000000"/>
          <w:sz w:val="24"/>
        </w:rPr>
      </w:pPr>
      <w:r>
        <w:rPr>
          <w:rFonts w:hint="eastAsia"/>
          <w:bCs/>
          <w:color w:val="000000"/>
          <w:sz w:val="24"/>
        </w:rPr>
        <w:t>在学科博士研究生招生工作领导小组指导下，学院组织以博士生导师为主的不少于五人的本学科专家组成审核小组，对考生提交的材料进行审查，并对考生的综合水平、学术成果和创新能力等方面进行打分（百分制）。进入综合考核的人选名单，经领导小组审核后报送研究生院，由研究生院进行审核并公示。</w:t>
      </w:r>
    </w:p>
    <w:p>
      <w:pPr>
        <w:spacing w:line="520" w:lineRule="exact"/>
        <w:ind w:firstLine="480" w:firstLineChars="200"/>
        <w:rPr>
          <w:bCs/>
          <w:color w:val="000000"/>
          <w:sz w:val="24"/>
        </w:rPr>
      </w:pPr>
      <w:r>
        <w:rPr>
          <w:rFonts w:hint="eastAsia"/>
          <w:bCs/>
          <w:color w:val="000000"/>
          <w:sz w:val="24"/>
        </w:rPr>
        <w:t>材料考核成绩计算公式为：材料审核成绩=学术成果×30%+创新能力×70%。满分100分，低于60分者、思想政治素质与品德不合格者，均不予录取。</w:t>
      </w:r>
    </w:p>
    <w:p>
      <w:pPr>
        <w:spacing w:before="156" w:beforeLines="50" w:after="156" w:afterLines="50" w:line="280" w:lineRule="exact"/>
        <w:jc w:val="left"/>
        <w:rPr>
          <w:rFonts w:ascii="黑体" w:hAnsi="宋体" w:eastAsia="黑体"/>
          <w:sz w:val="28"/>
          <w:szCs w:val="28"/>
        </w:rPr>
      </w:pPr>
      <w:r>
        <w:rPr>
          <w:rFonts w:hint="eastAsia" w:ascii="黑体" w:hAnsi="宋体" w:eastAsia="黑体"/>
          <w:sz w:val="28"/>
          <w:szCs w:val="28"/>
        </w:rPr>
        <w:t>三、远程考核</w:t>
      </w:r>
      <w:r>
        <w:rPr>
          <w:rFonts w:ascii="黑体" w:hAnsi="宋体" w:eastAsia="黑体"/>
          <w:sz w:val="28"/>
          <w:szCs w:val="28"/>
        </w:rPr>
        <w:t>安排</w:t>
      </w:r>
      <w:r>
        <w:rPr>
          <w:rFonts w:hint="eastAsia" w:ascii="黑体" w:hAnsi="宋体" w:eastAsia="黑体"/>
          <w:sz w:val="28"/>
          <w:szCs w:val="28"/>
        </w:rPr>
        <w:t>：</w:t>
      </w:r>
    </w:p>
    <w:p>
      <w:pPr>
        <w:spacing w:line="360" w:lineRule="auto"/>
        <w:ind w:left="428" w:leftChars="-122" w:hanging="684" w:hangingChars="285"/>
        <w:rPr>
          <w:rFonts w:ascii="宋体" w:hAnsi="宋体"/>
          <w:sz w:val="24"/>
        </w:rPr>
      </w:pPr>
      <w:r>
        <w:rPr>
          <w:rFonts w:hint="eastAsia" w:ascii="宋体" w:hAnsi="宋体"/>
          <w:sz w:val="24"/>
        </w:rPr>
        <w:t xml:space="preserve">  （1）初试考核内容：</w:t>
      </w:r>
      <w:r>
        <w:rPr>
          <w:rFonts w:ascii="宋体" w:hAnsi="宋体"/>
          <w:sz w:val="24"/>
        </w:rPr>
        <w:t xml:space="preserve"> </w:t>
      </w:r>
    </w:p>
    <w:p>
      <w:pPr>
        <w:spacing w:line="520" w:lineRule="exact"/>
        <w:ind w:firstLine="480" w:firstLineChars="200"/>
        <w:rPr>
          <w:kern w:val="0"/>
          <w:sz w:val="24"/>
        </w:rPr>
      </w:pPr>
      <w:r>
        <w:rPr>
          <w:rFonts w:hint="eastAsia" w:ascii="宋体" w:hAnsi="宋体"/>
          <w:sz w:val="24"/>
        </w:rPr>
        <w:t xml:space="preserve"> </w:t>
      </w:r>
      <w:r>
        <w:rPr>
          <w:kern w:val="0"/>
          <w:sz w:val="24"/>
        </w:rPr>
        <w:t>根据《南京工业大学博士研究生“申请-考核制”招生选拔实施办法》对材料审核合格的普通招考考生进行初试，</w:t>
      </w:r>
      <w:r>
        <w:rPr>
          <w:rFonts w:hint="eastAsia"/>
          <w:kern w:val="0"/>
          <w:sz w:val="24"/>
        </w:rPr>
        <w:t>采用线上考核方式，考核英语和两门专业课，满分100分。英语为合格考试，成绩不计入初试成绩。</w:t>
      </w:r>
    </w:p>
    <w:p>
      <w:pPr>
        <w:spacing w:line="520" w:lineRule="exact"/>
        <w:ind w:firstLine="480" w:firstLineChars="200"/>
        <w:rPr>
          <w:kern w:val="0"/>
          <w:sz w:val="24"/>
        </w:rPr>
      </w:pPr>
      <w:r>
        <w:rPr>
          <w:rFonts w:hint="eastAsia"/>
          <w:kern w:val="0"/>
          <w:sz w:val="24"/>
        </w:rPr>
        <w:t>英语水平测试：CET-6≥425、IELTS≥6.0、TOEFL≥85、在英文国际期刊上（会议论文除外）以第一作者发表过英文学术论文者，可免予参加外语考试。外国语水平未达到免试要求的将进行外语综合能力测试（闭卷考试），测试时间为60分钟，满分100分。英语成绩低于</w:t>
      </w:r>
      <w:r>
        <w:rPr>
          <w:rFonts w:hint="eastAsia"/>
          <w:kern w:val="0"/>
          <w:sz w:val="24"/>
          <w:lang w:eastAsia="zh-CN"/>
        </w:rPr>
        <w:t>合格线</w:t>
      </w:r>
      <w:bookmarkStart w:id="0" w:name="_GoBack"/>
      <w:bookmarkEnd w:id="0"/>
      <w:r>
        <w:rPr>
          <w:rFonts w:hint="eastAsia"/>
          <w:kern w:val="0"/>
          <w:sz w:val="24"/>
        </w:rPr>
        <w:t>的不予录取。</w:t>
      </w:r>
    </w:p>
    <w:p>
      <w:pPr>
        <w:spacing w:line="520" w:lineRule="exact"/>
        <w:ind w:firstLine="480" w:firstLineChars="200"/>
        <w:rPr>
          <w:kern w:val="0"/>
          <w:sz w:val="24"/>
        </w:rPr>
      </w:pPr>
      <w:r>
        <w:rPr>
          <w:rFonts w:hint="eastAsia"/>
          <w:kern w:val="0"/>
          <w:sz w:val="24"/>
        </w:rPr>
        <w:t>专业课以综合性、开放性和能力型试题为主。考试为开卷考试，每门满分50分、考试时间1.5小时。考生可翻阅相关书籍和材料，不得使用互联网等电子设备进行搜索。考题采用投屏形式，考试结束后，学生通过网络向学院提交符合格式、清晰可辨的电子版答题纸。</w:t>
      </w:r>
    </w:p>
    <w:p>
      <w:pPr>
        <w:spacing w:line="360" w:lineRule="auto"/>
        <w:rPr>
          <w:rFonts w:ascii="宋体" w:hAnsi="宋体"/>
          <w:sz w:val="24"/>
        </w:rPr>
      </w:pPr>
      <w:r>
        <w:rPr>
          <w:rFonts w:hint="eastAsia" w:ascii="宋体" w:hAnsi="宋体"/>
          <w:sz w:val="24"/>
        </w:rPr>
        <w:t xml:space="preserve">   考核科目及参考书目如下：</w:t>
      </w:r>
    </w:p>
    <w:tbl>
      <w:tblPr>
        <w:tblStyle w:val="5"/>
        <w:tblpPr w:leftFromText="180" w:rightFromText="180" w:vertAnchor="text" w:horzAnchor="margin" w:tblpXSpec="center" w:tblpY="110"/>
        <w:tblW w:w="9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6"/>
        <w:gridCol w:w="306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806"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专业水平考核科目名称</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适用专业代码及名称</w:t>
            </w: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4806"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Cs w:val="21"/>
              </w:rPr>
            </w:pPr>
            <w:r>
              <w:rPr>
                <w:rFonts w:hint="eastAsia"/>
                <w:color w:val="000000"/>
                <w:szCs w:val="21"/>
              </w:rPr>
              <w:t>专业课1：</w:t>
            </w:r>
          </w:p>
          <w:p>
            <w:pPr>
              <w:rPr>
                <w:color w:val="000000"/>
                <w:szCs w:val="21"/>
              </w:rPr>
            </w:pPr>
            <w:r>
              <w:rPr>
                <w:rFonts w:hint="eastAsia"/>
                <w:color w:val="000000"/>
                <w:szCs w:val="21"/>
              </w:rPr>
              <w:t>2008 绿色化工研究进展 或 2009 生物技术进展</w:t>
            </w:r>
          </w:p>
          <w:p>
            <w:pPr>
              <w:rPr>
                <w:color w:val="000000"/>
                <w:szCs w:val="21"/>
              </w:rPr>
            </w:pPr>
            <w:r>
              <w:rPr>
                <w:rFonts w:hint="eastAsia"/>
                <w:color w:val="000000"/>
                <w:szCs w:val="21"/>
              </w:rPr>
              <w:t>专业课2：</w:t>
            </w:r>
          </w:p>
          <w:p>
            <w:pPr>
              <w:rPr>
                <w:color w:val="000000"/>
                <w:szCs w:val="21"/>
              </w:rPr>
            </w:pPr>
            <w:r>
              <w:rPr>
                <w:rFonts w:hint="eastAsia"/>
                <w:color w:val="000000"/>
                <w:szCs w:val="21"/>
              </w:rPr>
              <w:t>3005 生化反应工程进展 或 3006 反应工程进展</w:t>
            </w:r>
          </w:p>
        </w:tc>
        <w:tc>
          <w:tcPr>
            <w:tcW w:w="30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081700 化学工程与技术</w:t>
            </w:r>
          </w:p>
        </w:tc>
        <w:tc>
          <w:tcPr>
            <w:tcW w:w="1356"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4806" w:type="dxa"/>
            <w:tcBorders>
              <w:top w:val="single" w:color="auto" w:sz="4" w:space="0"/>
              <w:left w:val="single" w:color="auto" w:sz="4" w:space="0"/>
              <w:right w:val="single" w:color="auto" w:sz="4" w:space="0"/>
            </w:tcBorders>
            <w:shd w:val="clear" w:color="auto" w:fill="auto"/>
            <w:vAlign w:val="center"/>
          </w:tcPr>
          <w:p>
            <w:pPr>
              <w:rPr>
                <w:color w:val="000000"/>
                <w:szCs w:val="21"/>
              </w:rPr>
            </w:pPr>
            <w:r>
              <w:rPr>
                <w:rFonts w:hint="eastAsia"/>
                <w:color w:val="000000"/>
                <w:szCs w:val="21"/>
              </w:rPr>
              <w:t>专业课1：</w:t>
            </w:r>
          </w:p>
          <w:p>
            <w:pPr>
              <w:rPr>
                <w:color w:val="000000"/>
                <w:szCs w:val="21"/>
              </w:rPr>
            </w:pPr>
            <w:r>
              <w:rPr>
                <w:rFonts w:hint="eastAsia"/>
                <w:color w:val="000000"/>
                <w:szCs w:val="21"/>
              </w:rPr>
              <w:t>2009 生物技术进展</w:t>
            </w:r>
          </w:p>
          <w:p>
            <w:pPr>
              <w:rPr>
                <w:color w:val="000000"/>
                <w:szCs w:val="21"/>
              </w:rPr>
            </w:pPr>
            <w:r>
              <w:rPr>
                <w:rFonts w:hint="eastAsia"/>
                <w:color w:val="000000"/>
                <w:szCs w:val="21"/>
              </w:rPr>
              <w:t>专业课2：</w:t>
            </w:r>
          </w:p>
          <w:p>
            <w:pPr>
              <w:rPr>
                <w:color w:val="000000"/>
                <w:szCs w:val="21"/>
              </w:rPr>
            </w:pPr>
            <w:r>
              <w:rPr>
                <w:rFonts w:hint="eastAsia"/>
                <w:color w:val="000000"/>
                <w:szCs w:val="21"/>
              </w:rPr>
              <w:t>3005 生化反应工程进展</w:t>
            </w:r>
          </w:p>
        </w:tc>
        <w:tc>
          <w:tcPr>
            <w:tcW w:w="3060" w:type="dxa"/>
            <w:tcBorders>
              <w:top w:val="single" w:color="auto" w:sz="4" w:space="0"/>
              <w:left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083600 生物工程</w:t>
            </w:r>
          </w:p>
        </w:tc>
        <w:tc>
          <w:tcPr>
            <w:tcW w:w="1356" w:type="dxa"/>
            <w:tcBorders>
              <w:top w:val="single" w:color="auto" w:sz="4" w:space="0"/>
              <w:left w:val="single" w:color="auto" w:sz="4" w:space="0"/>
              <w:right w:val="single" w:color="auto" w:sz="4" w:space="0"/>
            </w:tcBorders>
            <w:vAlign w:val="center"/>
          </w:tcPr>
          <w:p>
            <w:pPr>
              <w:rPr>
                <w:sz w:val="18"/>
                <w:szCs w:val="18"/>
              </w:rPr>
            </w:pPr>
            <w:r>
              <w:rPr>
                <w:rFonts w:hint="eastAsia"/>
                <w:sz w:val="18"/>
                <w:szCs w:val="18"/>
              </w:rPr>
              <w:t>无</w:t>
            </w:r>
          </w:p>
        </w:tc>
      </w:tr>
    </w:tbl>
    <w:p>
      <w:pPr>
        <w:adjustRightInd w:val="0"/>
        <w:snapToGrid w:val="0"/>
        <w:rPr>
          <w:rFonts w:ascii="黑体" w:hAnsi="宋体" w:eastAsia="黑体"/>
          <w:sz w:val="18"/>
          <w:szCs w:val="18"/>
        </w:rPr>
      </w:pPr>
    </w:p>
    <w:p>
      <w:pPr>
        <w:pStyle w:val="11"/>
        <w:spacing w:line="360" w:lineRule="auto"/>
        <w:ind w:left="-29" w:leftChars="-14" w:firstLine="480"/>
        <w:rPr>
          <w:rFonts w:ascii="宋体" w:hAnsi="宋体" w:eastAsia="宋体"/>
          <w:sz w:val="24"/>
          <w:szCs w:val="24"/>
        </w:rPr>
      </w:pPr>
      <w:r>
        <w:rPr>
          <w:rFonts w:hint="eastAsia" w:ascii="宋体" w:hAnsi="宋体" w:eastAsia="宋体"/>
          <w:sz w:val="24"/>
          <w:szCs w:val="24"/>
        </w:rPr>
        <w:t xml:space="preserve">初试成绩计算方式：初试成绩 </w:t>
      </w:r>
      <w:r>
        <w:rPr>
          <w:rFonts w:hint="eastAsia" w:ascii="宋体" w:hAnsi="宋体" w:eastAsia="宋体"/>
          <w:bCs/>
          <w:sz w:val="24"/>
          <w:szCs w:val="24"/>
        </w:rPr>
        <w:t>=</w:t>
      </w:r>
      <w:r>
        <w:rPr>
          <w:rFonts w:ascii="宋体" w:hAnsi="宋体" w:eastAsia="宋体"/>
          <w:bCs/>
          <w:sz w:val="24"/>
          <w:szCs w:val="24"/>
        </w:rPr>
        <w:t xml:space="preserve"> </w:t>
      </w:r>
      <w:r>
        <w:rPr>
          <w:rFonts w:hint="eastAsia" w:ascii="宋体" w:hAnsi="宋体" w:eastAsia="宋体"/>
          <w:bCs/>
          <w:sz w:val="24"/>
          <w:szCs w:val="24"/>
        </w:rPr>
        <w:t>专业课1×</w:t>
      </w:r>
      <w:r>
        <w:rPr>
          <w:rFonts w:ascii="宋体" w:hAnsi="宋体" w:eastAsia="宋体"/>
          <w:bCs/>
          <w:sz w:val="24"/>
          <w:szCs w:val="24"/>
        </w:rPr>
        <w:t>50</w:t>
      </w:r>
      <w:r>
        <w:rPr>
          <w:rFonts w:hint="eastAsia" w:ascii="宋体" w:hAnsi="宋体" w:eastAsia="宋体"/>
          <w:bCs/>
          <w:sz w:val="24"/>
          <w:szCs w:val="24"/>
        </w:rPr>
        <w:t>%</w:t>
      </w:r>
      <w:r>
        <w:rPr>
          <w:rFonts w:ascii="宋体" w:hAnsi="宋体" w:eastAsia="宋体"/>
          <w:bCs/>
          <w:sz w:val="24"/>
          <w:szCs w:val="24"/>
        </w:rPr>
        <w:t xml:space="preserve"> </w:t>
      </w:r>
      <w:r>
        <w:rPr>
          <w:rFonts w:hint="eastAsia" w:ascii="宋体" w:hAnsi="宋体" w:eastAsia="宋体"/>
          <w:bCs/>
          <w:sz w:val="24"/>
          <w:szCs w:val="24"/>
        </w:rPr>
        <w:t>+</w:t>
      </w:r>
      <w:r>
        <w:rPr>
          <w:rFonts w:ascii="宋体" w:hAnsi="宋体" w:eastAsia="宋体"/>
          <w:bCs/>
          <w:sz w:val="24"/>
          <w:szCs w:val="24"/>
        </w:rPr>
        <w:t xml:space="preserve"> </w:t>
      </w:r>
      <w:r>
        <w:rPr>
          <w:rFonts w:hint="eastAsia" w:ascii="宋体" w:hAnsi="宋体" w:eastAsia="宋体"/>
          <w:bCs/>
          <w:sz w:val="24"/>
          <w:szCs w:val="24"/>
        </w:rPr>
        <w:t>专业课</w:t>
      </w:r>
      <w:r>
        <w:rPr>
          <w:rFonts w:ascii="宋体" w:hAnsi="宋体" w:eastAsia="宋体"/>
          <w:bCs/>
          <w:sz w:val="24"/>
          <w:szCs w:val="24"/>
        </w:rPr>
        <w:t>2</w:t>
      </w:r>
      <w:r>
        <w:rPr>
          <w:rFonts w:hint="eastAsia" w:ascii="宋体" w:hAnsi="宋体" w:eastAsia="宋体"/>
          <w:bCs/>
          <w:sz w:val="24"/>
          <w:szCs w:val="24"/>
        </w:rPr>
        <w:t>×</w:t>
      </w:r>
      <w:r>
        <w:rPr>
          <w:rFonts w:ascii="宋体" w:hAnsi="宋体" w:eastAsia="宋体"/>
          <w:bCs/>
          <w:sz w:val="24"/>
          <w:szCs w:val="24"/>
        </w:rPr>
        <w:t>50</w:t>
      </w:r>
      <w:r>
        <w:rPr>
          <w:rFonts w:hint="eastAsia" w:ascii="宋体" w:hAnsi="宋体" w:eastAsia="宋体"/>
          <w:bCs/>
          <w:sz w:val="24"/>
          <w:szCs w:val="24"/>
        </w:rPr>
        <w:t>%。满分100分。初试成绩由研究生院审核后公布，同时公布进入复试的考生名单。</w:t>
      </w:r>
    </w:p>
    <w:p>
      <w:pPr>
        <w:pStyle w:val="11"/>
        <w:numPr>
          <w:ilvl w:val="0"/>
          <w:numId w:val="2"/>
        </w:numPr>
        <w:spacing w:line="360" w:lineRule="auto"/>
        <w:ind w:firstLine="480"/>
        <w:rPr>
          <w:rFonts w:ascii="宋体" w:hAnsi="宋体" w:eastAsia="宋体"/>
          <w:sz w:val="24"/>
          <w:szCs w:val="24"/>
        </w:rPr>
      </w:pPr>
      <w:r>
        <w:rPr>
          <w:rFonts w:hint="eastAsia" w:ascii="宋体" w:hAnsi="宋体" w:eastAsia="宋体"/>
          <w:sz w:val="24"/>
          <w:szCs w:val="24"/>
        </w:rPr>
        <w:t>复试考核内容：</w:t>
      </w:r>
    </w:p>
    <w:p>
      <w:pPr>
        <w:spacing w:line="520" w:lineRule="exact"/>
        <w:ind w:firstLine="480" w:firstLineChars="200"/>
        <w:rPr>
          <w:kern w:val="0"/>
          <w:sz w:val="24"/>
        </w:rPr>
      </w:pPr>
      <w:r>
        <w:rPr>
          <w:kern w:val="0"/>
          <w:sz w:val="24"/>
        </w:rPr>
        <w:t>根据《南京工业大学博士研究生“申请-考核制”招生选拔实施办法》对通过材料审核的考生进行复试。</w:t>
      </w:r>
      <w:r>
        <w:rPr>
          <w:rFonts w:hint="eastAsia"/>
          <w:kern w:val="0"/>
          <w:sz w:val="24"/>
        </w:rPr>
        <w:t>学院成立由相关学科至少5名专家组成的复试专家组</w:t>
      </w:r>
      <w:r>
        <w:rPr>
          <w:kern w:val="0"/>
          <w:sz w:val="24"/>
        </w:rPr>
        <w:t>，对考生学科背景、专业素质、</w:t>
      </w:r>
      <w:r>
        <w:rPr>
          <w:rFonts w:hint="eastAsia"/>
          <w:kern w:val="0"/>
          <w:sz w:val="24"/>
        </w:rPr>
        <w:t>英语</w:t>
      </w:r>
      <w:r>
        <w:rPr>
          <w:kern w:val="0"/>
          <w:sz w:val="24"/>
        </w:rPr>
        <w:t>水平、思维能力和创新能力等进行综合考察，并给出复试成绩（百分制）。</w:t>
      </w:r>
    </w:p>
    <w:p>
      <w:pPr>
        <w:spacing w:line="520" w:lineRule="exact"/>
        <w:ind w:firstLine="480" w:firstLineChars="200"/>
        <w:rPr>
          <w:sz w:val="24"/>
        </w:rPr>
      </w:pPr>
      <w:r>
        <w:rPr>
          <w:sz w:val="24"/>
        </w:rPr>
        <w:t>考核形式为</w:t>
      </w:r>
      <w:r>
        <w:rPr>
          <w:rFonts w:hint="eastAsia"/>
          <w:sz w:val="24"/>
        </w:rPr>
        <w:t>远程在线</w:t>
      </w:r>
      <w:r>
        <w:rPr>
          <w:sz w:val="24"/>
        </w:rPr>
        <w:t>面试，采取公开答辩的方式（PPT汇报）。考生需</w:t>
      </w:r>
      <w:r>
        <w:rPr>
          <w:rFonts w:hint="eastAsia"/>
          <w:sz w:val="24"/>
        </w:rPr>
        <w:t>预先</w:t>
      </w:r>
      <w:r>
        <w:rPr>
          <w:sz w:val="24"/>
        </w:rPr>
        <w:t>准备汇报PPT(中英文均可，时间控制在10分钟之内，汇报内容为考生基本情况、参加的课题和成果、博士期间计划</w:t>
      </w:r>
      <w:r>
        <w:rPr>
          <w:rFonts w:hint="eastAsia"/>
          <w:sz w:val="24"/>
        </w:rPr>
        <w:t>等</w:t>
      </w:r>
      <w:r>
        <w:rPr>
          <w:sz w:val="24"/>
        </w:rPr>
        <w:t>)，答辩主要考核申请者的科学素养、专业基础和科研潜质与创新能力。</w:t>
      </w:r>
    </w:p>
    <w:p>
      <w:pPr>
        <w:pStyle w:val="11"/>
        <w:spacing w:line="360" w:lineRule="auto"/>
        <w:ind w:firstLine="0" w:firstLineChars="0"/>
        <w:rPr>
          <w:rFonts w:ascii="宋体" w:hAnsi="宋体" w:eastAsia="宋体"/>
          <w:sz w:val="24"/>
          <w:szCs w:val="24"/>
        </w:rPr>
      </w:pPr>
      <w:r>
        <w:rPr>
          <w:rFonts w:hint="eastAsia" w:ascii="宋体" w:hAnsi="宋体" w:eastAsia="宋体"/>
          <w:sz w:val="24"/>
          <w:szCs w:val="24"/>
        </w:rPr>
        <w:t xml:space="preserve">    复试成绩计算方式：</w:t>
      </w:r>
      <w:r>
        <w:rPr>
          <w:rFonts w:ascii="宋体" w:hAnsi="宋体" w:eastAsia="宋体"/>
          <w:sz w:val="24"/>
          <w:szCs w:val="24"/>
        </w:rPr>
        <w:t>复试成绩=语言表达与逻辑思维能力×20%+科学素养与专业基础×20%+科研潜质与创新能力×60%。满分100分，低于60分者、思想政治素质与品德不合格者、心理健康不合格者，均不予录取。</w:t>
      </w:r>
    </w:p>
    <w:p>
      <w:pPr>
        <w:spacing w:before="156" w:beforeLines="50" w:after="156" w:afterLines="50" w:line="280" w:lineRule="exact"/>
        <w:ind w:firstLine="140" w:firstLineChars="50"/>
        <w:jc w:val="left"/>
        <w:rPr>
          <w:rFonts w:ascii="黑体" w:hAnsi="宋体" w:eastAsia="黑体"/>
          <w:sz w:val="28"/>
          <w:szCs w:val="28"/>
        </w:rPr>
      </w:pPr>
      <w:r>
        <w:rPr>
          <w:rFonts w:hint="eastAsia" w:ascii="黑体" w:hAnsi="宋体" w:eastAsia="黑体"/>
          <w:sz w:val="28"/>
          <w:szCs w:val="28"/>
        </w:rPr>
        <w:t>四、录取办法：</w:t>
      </w:r>
    </w:p>
    <w:p>
      <w:pPr>
        <w:pStyle w:val="11"/>
        <w:spacing w:line="360" w:lineRule="auto"/>
        <w:ind w:firstLineChars="0"/>
        <w:rPr>
          <w:rFonts w:ascii="Arial" w:hAnsi="Arial" w:eastAsia="宋体"/>
          <w:sz w:val="24"/>
          <w:szCs w:val="24"/>
        </w:rPr>
      </w:pPr>
      <w:r>
        <w:rPr>
          <w:rFonts w:hint="eastAsia" w:ascii="Arial" w:hAnsi="Arial" w:eastAsia="宋体"/>
          <w:sz w:val="24"/>
          <w:szCs w:val="24"/>
        </w:rPr>
        <w:t>录取成绩计算方式：</w:t>
      </w:r>
      <w:r>
        <w:rPr>
          <w:rFonts w:ascii="Arial" w:hAnsi="Arial" w:eastAsia="宋体"/>
          <w:kern w:val="0"/>
          <w:sz w:val="24"/>
          <w:szCs w:val="24"/>
        </w:rPr>
        <w:t>综合成绩=材料审核成绩×10%+初试成绩×30%+复试成绩×60%。</w:t>
      </w:r>
    </w:p>
    <w:p>
      <w:pPr>
        <w:spacing w:line="520" w:lineRule="exact"/>
        <w:rPr>
          <w:rFonts w:ascii="Arial" w:hAnsi="Arial"/>
          <w:sz w:val="24"/>
        </w:rPr>
      </w:pPr>
      <w:r>
        <w:rPr>
          <w:rFonts w:ascii="Arial" w:hAnsi="Arial"/>
          <w:b/>
          <w:kern w:val="0"/>
          <w:sz w:val="24"/>
        </w:rPr>
        <w:t xml:space="preserve">    </w:t>
      </w:r>
      <w:r>
        <w:rPr>
          <w:rFonts w:hint="eastAsia" w:ascii="Arial" w:hAnsi="Arial"/>
          <w:sz w:val="24"/>
        </w:rPr>
        <w:t>学院在学科</w:t>
      </w:r>
      <w:r>
        <w:rPr>
          <w:rFonts w:ascii="Arial" w:hAnsi="Arial"/>
          <w:kern w:val="0"/>
          <w:sz w:val="24"/>
        </w:rPr>
        <w:t>博士</w:t>
      </w:r>
      <w:r>
        <w:rPr>
          <w:rFonts w:hint="eastAsia" w:ascii="Arial" w:hAnsi="Arial"/>
          <w:kern w:val="0"/>
          <w:sz w:val="24"/>
        </w:rPr>
        <w:t>研究生</w:t>
      </w:r>
      <w:r>
        <w:rPr>
          <w:rFonts w:ascii="Arial" w:hAnsi="Arial"/>
          <w:kern w:val="0"/>
          <w:sz w:val="24"/>
        </w:rPr>
        <w:t>招生</w:t>
      </w:r>
      <w:r>
        <w:rPr>
          <w:rFonts w:hint="eastAsia" w:ascii="Arial" w:hAnsi="Arial"/>
          <w:kern w:val="0"/>
          <w:sz w:val="24"/>
        </w:rPr>
        <w:t>工作</w:t>
      </w:r>
      <w:r>
        <w:rPr>
          <w:rFonts w:ascii="Arial" w:hAnsi="Arial"/>
          <w:kern w:val="0"/>
          <w:sz w:val="24"/>
        </w:rPr>
        <w:t>领导小组</w:t>
      </w:r>
      <w:r>
        <w:rPr>
          <w:rFonts w:hint="eastAsia" w:ascii="Arial" w:hAnsi="Arial"/>
          <w:sz w:val="24"/>
        </w:rPr>
        <w:t>指导下</w:t>
      </w:r>
      <w:r>
        <w:rPr>
          <w:rFonts w:ascii="Arial" w:hAnsi="Arial"/>
          <w:sz w:val="24"/>
        </w:rPr>
        <w:t>对考生的所有报考材料、考核记录及考核成绩进行审查无误后，按综合成绩（含考生</w:t>
      </w:r>
      <w:r>
        <w:rPr>
          <w:rFonts w:hint="eastAsia" w:ascii="Arial" w:hAnsi="Arial"/>
          <w:sz w:val="24"/>
        </w:rPr>
        <w:t>材料审核成绩、综合考核初试成绩和综合考核复试成绩</w:t>
      </w:r>
      <w:r>
        <w:rPr>
          <w:rFonts w:ascii="Arial" w:hAnsi="Arial"/>
          <w:sz w:val="24"/>
        </w:rPr>
        <w:t>）择优确定拟录取名单。综合成绩相同的条件下，按</w:t>
      </w:r>
      <w:r>
        <w:rPr>
          <w:rFonts w:hint="eastAsia" w:ascii="Arial" w:hAnsi="Arial"/>
          <w:sz w:val="24"/>
        </w:rPr>
        <w:t>综合考核复试成绩</w:t>
      </w:r>
      <w:r>
        <w:rPr>
          <w:rFonts w:ascii="Arial" w:hAnsi="Arial"/>
          <w:sz w:val="24"/>
        </w:rPr>
        <w:t>择优录取。综合成绩和综合考核复试成绩均相同的条件下，按</w:t>
      </w:r>
      <w:r>
        <w:rPr>
          <w:rFonts w:ascii="Arial" w:hAnsi="Arial"/>
          <w:kern w:val="0"/>
          <w:sz w:val="24"/>
        </w:rPr>
        <w:t>综合考核初试成绩</w:t>
      </w:r>
      <w:r>
        <w:rPr>
          <w:rFonts w:ascii="Arial" w:hAnsi="Arial"/>
          <w:sz w:val="24"/>
        </w:rPr>
        <w:t>择优录取（硕博连读报考考生以材料审核成绩择优录取）。最终拟录取名单报经校研究生招生工作领导小组审定后公示。</w:t>
      </w:r>
    </w:p>
    <w:p>
      <w:pPr>
        <w:spacing w:before="156" w:beforeLines="50" w:after="156" w:afterLines="50" w:line="280" w:lineRule="exact"/>
        <w:jc w:val="left"/>
        <w:rPr>
          <w:rFonts w:ascii="黑体" w:hAnsi="宋体" w:eastAsia="黑体"/>
          <w:sz w:val="28"/>
          <w:szCs w:val="28"/>
        </w:rPr>
      </w:pPr>
    </w:p>
    <w:p>
      <w:pPr>
        <w:spacing w:before="156" w:beforeLines="50" w:after="156" w:afterLines="50" w:line="280" w:lineRule="exact"/>
        <w:ind w:firstLine="140" w:firstLineChars="50"/>
        <w:jc w:val="left"/>
        <w:rPr>
          <w:rFonts w:ascii="黑体" w:hAnsi="宋体" w:eastAsia="黑体"/>
          <w:sz w:val="28"/>
          <w:szCs w:val="28"/>
        </w:rPr>
      </w:pPr>
      <w:r>
        <w:rPr>
          <w:rFonts w:hint="eastAsia" w:ascii="黑体" w:hAnsi="宋体" w:eastAsia="黑体"/>
          <w:sz w:val="28"/>
          <w:szCs w:val="28"/>
        </w:rPr>
        <w:t>五、联系方式</w:t>
      </w:r>
    </w:p>
    <w:p>
      <w:pPr>
        <w:spacing w:line="520" w:lineRule="exact"/>
        <w:ind w:firstLine="480" w:firstLineChars="200"/>
        <w:rPr>
          <w:sz w:val="24"/>
        </w:rPr>
      </w:pPr>
      <w:r>
        <w:rPr>
          <w:sz w:val="24"/>
        </w:rPr>
        <w:t>联系电话：025-58139906</w:t>
      </w:r>
      <w:r>
        <w:rPr>
          <w:rFonts w:hint="eastAsia"/>
          <w:sz w:val="24"/>
        </w:rPr>
        <w:t>（生物与制药工程学院办公室）</w:t>
      </w:r>
    </w:p>
    <w:p>
      <w:pPr>
        <w:spacing w:line="520" w:lineRule="exact"/>
        <w:ind w:firstLine="1560" w:firstLineChars="650"/>
        <w:rPr>
          <w:sz w:val="24"/>
        </w:rPr>
      </w:pPr>
      <w:r>
        <w:rPr>
          <w:sz w:val="24"/>
        </w:rPr>
        <w:t>025-58139194（学校研招办）</w:t>
      </w:r>
    </w:p>
    <w:p>
      <w:pPr>
        <w:spacing w:line="520" w:lineRule="exact"/>
        <w:rPr>
          <w:sz w:val="24"/>
        </w:rPr>
      </w:pPr>
      <w:r>
        <w:rPr>
          <w:rFonts w:hint="eastAsia"/>
          <w:sz w:val="24"/>
        </w:rPr>
        <w:t xml:space="preserve"> </w:t>
      </w:r>
      <w:r>
        <w:rPr>
          <w:sz w:val="24"/>
        </w:rPr>
        <w:t xml:space="preserve">   </w:t>
      </w:r>
      <w:r>
        <w:rPr>
          <w:rFonts w:hint="eastAsia"/>
          <w:sz w:val="24"/>
        </w:rPr>
        <w:t>邮箱：w</w:t>
      </w:r>
      <w:r>
        <w:rPr>
          <w:sz w:val="24"/>
        </w:rPr>
        <w:t>hq@njtech.edu.cn</w:t>
      </w:r>
    </w:p>
    <w:p>
      <w:pPr>
        <w:spacing w:line="520" w:lineRule="exact"/>
        <w:ind w:firstLine="480" w:firstLineChars="200"/>
        <w:rPr>
          <w:sz w:val="24"/>
        </w:rPr>
      </w:pPr>
      <w:r>
        <w:rPr>
          <w:sz w:val="24"/>
        </w:rPr>
        <w:t>联系地址：南京市</w:t>
      </w:r>
      <w:r>
        <w:rPr>
          <w:rFonts w:hint="eastAsia"/>
          <w:sz w:val="24"/>
        </w:rPr>
        <w:t>浦口区</w:t>
      </w:r>
      <w:r>
        <w:rPr>
          <w:sz w:val="24"/>
        </w:rPr>
        <w:t>浦珠南路30号</w:t>
      </w:r>
    </w:p>
    <w:p>
      <w:pPr>
        <w:spacing w:line="520" w:lineRule="exact"/>
        <w:ind w:firstLine="480" w:firstLineChars="200"/>
        <w:rPr>
          <w:sz w:val="24"/>
        </w:rPr>
      </w:pPr>
      <w:r>
        <w:rPr>
          <w:sz w:val="24"/>
        </w:rPr>
        <w:t>邮编：211816</w:t>
      </w:r>
    </w:p>
    <w:p>
      <w:pPr>
        <w:spacing w:before="156" w:beforeLines="50" w:after="156" w:afterLines="50" w:line="280" w:lineRule="exact"/>
        <w:ind w:firstLine="140" w:firstLineChars="50"/>
        <w:jc w:val="left"/>
        <w:rPr>
          <w:rFonts w:ascii="黑体" w:hAnsi="宋体" w:eastAsia="黑体"/>
          <w:sz w:val="28"/>
          <w:szCs w:val="28"/>
        </w:rPr>
      </w:pPr>
    </w:p>
    <w:sectPr>
      <w:headerReference r:id="rId3" w:type="default"/>
      <w:footerReference r:id="rId4" w:type="default"/>
      <w:pgSz w:w="11906" w:h="16838"/>
      <w:pgMar w:top="1304" w:right="1134" w:bottom="1134" w:left="1134" w:header="284" w:footer="42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Arial Unicode MS"/>
    <w:panose1 w:val="02010600030101010101"/>
    <w:charset w:val="86"/>
    <w:family w:val="auto"/>
    <w:pitch w:val="default"/>
    <w:sig w:usb0="00000000" w:usb1="00000000" w:usb2="00000016" w:usb3="00000000" w:csb0="0004000F"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8EF26B"/>
    <w:multiLevelType w:val="singleLevel"/>
    <w:tmpl w:val="A28EF26B"/>
    <w:lvl w:ilvl="0" w:tentative="0">
      <w:start w:val="1"/>
      <w:numFmt w:val="chineseCounting"/>
      <w:suff w:val="nothing"/>
      <w:lvlText w:val="%1、"/>
      <w:lvlJc w:val="left"/>
      <w:rPr>
        <w:rFonts w:hint="eastAsia"/>
      </w:rPr>
    </w:lvl>
  </w:abstractNum>
  <w:abstractNum w:abstractNumId="1">
    <w:nsid w:val="0F7B2FDA"/>
    <w:multiLevelType w:val="singleLevel"/>
    <w:tmpl w:val="0F7B2FDA"/>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B78"/>
    <w:rsid w:val="00000CCF"/>
    <w:rsid w:val="00003DA4"/>
    <w:rsid w:val="000137A5"/>
    <w:rsid w:val="00014FD0"/>
    <w:rsid w:val="00026701"/>
    <w:rsid w:val="00027B3F"/>
    <w:rsid w:val="00027CE2"/>
    <w:rsid w:val="00031440"/>
    <w:rsid w:val="00032AFB"/>
    <w:rsid w:val="00050BC0"/>
    <w:rsid w:val="0006076C"/>
    <w:rsid w:val="00063E73"/>
    <w:rsid w:val="000660F5"/>
    <w:rsid w:val="00067192"/>
    <w:rsid w:val="0006731E"/>
    <w:rsid w:val="00071B52"/>
    <w:rsid w:val="00072877"/>
    <w:rsid w:val="00083900"/>
    <w:rsid w:val="00084C1C"/>
    <w:rsid w:val="00085B0B"/>
    <w:rsid w:val="00096591"/>
    <w:rsid w:val="00097CF2"/>
    <w:rsid w:val="000A142C"/>
    <w:rsid w:val="000A7A96"/>
    <w:rsid w:val="000B0353"/>
    <w:rsid w:val="000B2442"/>
    <w:rsid w:val="000B4A90"/>
    <w:rsid w:val="000B767E"/>
    <w:rsid w:val="000B7B34"/>
    <w:rsid w:val="000C03E7"/>
    <w:rsid w:val="000C2F51"/>
    <w:rsid w:val="000C40CE"/>
    <w:rsid w:val="000D09E6"/>
    <w:rsid w:val="000D6530"/>
    <w:rsid w:val="000E3BD9"/>
    <w:rsid w:val="000E5541"/>
    <w:rsid w:val="000E7D48"/>
    <w:rsid w:val="00103AAF"/>
    <w:rsid w:val="001055AD"/>
    <w:rsid w:val="0010743B"/>
    <w:rsid w:val="00110A15"/>
    <w:rsid w:val="00117FAE"/>
    <w:rsid w:val="00122BB7"/>
    <w:rsid w:val="00125A35"/>
    <w:rsid w:val="00127871"/>
    <w:rsid w:val="00130AF0"/>
    <w:rsid w:val="001442E5"/>
    <w:rsid w:val="00154F65"/>
    <w:rsid w:val="00157D7C"/>
    <w:rsid w:val="00163CEF"/>
    <w:rsid w:val="00180A5A"/>
    <w:rsid w:val="00184EB6"/>
    <w:rsid w:val="001858B2"/>
    <w:rsid w:val="001876F2"/>
    <w:rsid w:val="00187BA2"/>
    <w:rsid w:val="0019409C"/>
    <w:rsid w:val="00194F10"/>
    <w:rsid w:val="00197B39"/>
    <w:rsid w:val="001A1916"/>
    <w:rsid w:val="001A227F"/>
    <w:rsid w:val="001A4891"/>
    <w:rsid w:val="001A7642"/>
    <w:rsid w:val="001A7859"/>
    <w:rsid w:val="001B2123"/>
    <w:rsid w:val="001C5CE4"/>
    <w:rsid w:val="001C6303"/>
    <w:rsid w:val="001C77F6"/>
    <w:rsid w:val="001C7BDF"/>
    <w:rsid w:val="001D7CFC"/>
    <w:rsid w:val="001F3063"/>
    <w:rsid w:val="001F3A69"/>
    <w:rsid w:val="001F3E96"/>
    <w:rsid w:val="0022141C"/>
    <w:rsid w:val="002217F5"/>
    <w:rsid w:val="00224BCD"/>
    <w:rsid w:val="00226B16"/>
    <w:rsid w:val="002403E1"/>
    <w:rsid w:val="0024242E"/>
    <w:rsid w:val="00242B20"/>
    <w:rsid w:val="002502DD"/>
    <w:rsid w:val="00251B19"/>
    <w:rsid w:val="00254F1F"/>
    <w:rsid w:val="002610D8"/>
    <w:rsid w:val="002613FA"/>
    <w:rsid w:val="00263763"/>
    <w:rsid w:val="002717A4"/>
    <w:rsid w:val="00282299"/>
    <w:rsid w:val="00284CE3"/>
    <w:rsid w:val="0028799A"/>
    <w:rsid w:val="002962F0"/>
    <w:rsid w:val="002A2B7C"/>
    <w:rsid w:val="002A31EC"/>
    <w:rsid w:val="002A40B5"/>
    <w:rsid w:val="002A7010"/>
    <w:rsid w:val="002B052F"/>
    <w:rsid w:val="002B218A"/>
    <w:rsid w:val="002B2F97"/>
    <w:rsid w:val="002B44A5"/>
    <w:rsid w:val="002B4918"/>
    <w:rsid w:val="002B57DB"/>
    <w:rsid w:val="002D2E7A"/>
    <w:rsid w:val="002E73D1"/>
    <w:rsid w:val="002E7AAB"/>
    <w:rsid w:val="002F029B"/>
    <w:rsid w:val="002F2040"/>
    <w:rsid w:val="002F2ABE"/>
    <w:rsid w:val="00301C9C"/>
    <w:rsid w:val="00304577"/>
    <w:rsid w:val="00306F24"/>
    <w:rsid w:val="00307EC4"/>
    <w:rsid w:val="003138C9"/>
    <w:rsid w:val="00316274"/>
    <w:rsid w:val="003238FD"/>
    <w:rsid w:val="00324B9B"/>
    <w:rsid w:val="0032591D"/>
    <w:rsid w:val="00325D82"/>
    <w:rsid w:val="00326357"/>
    <w:rsid w:val="00327A24"/>
    <w:rsid w:val="00327B77"/>
    <w:rsid w:val="00331443"/>
    <w:rsid w:val="00332E21"/>
    <w:rsid w:val="00342FB0"/>
    <w:rsid w:val="00343749"/>
    <w:rsid w:val="00350430"/>
    <w:rsid w:val="00351BB3"/>
    <w:rsid w:val="0035608E"/>
    <w:rsid w:val="00361A8A"/>
    <w:rsid w:val="00362298"/>
    <w:rsid w:val="003662D4"/>
    <w:rsid w:val="00366B31"/>
    <w:rsid w:val="00367CA3"/>
    <w:rsid w:val="00370D43"/>
    <w:rsid w:val="00376E72"/>
    <w:rsid w:val="00390507"/>
    <w:rsid w:val="00395A86"/>
    <w:rsid w:val="00395FE1"/>
    <w:rsid w:val="003A2285"/>
    <w:rsid w:val="003A5042"/>
    <w:rsid w:val="003B0D6C"/>
    <w:rsid w:val="003C0405"/>
    <w:rsid w:val="003C15E4"/>
    <w:rsid w:val="003C3405"/>
    <w:rsid w:val="003D46F9"/>
    <w:rsid w:val="003D62CB"/>
    <w:rsid w:val="003D74BB"/>
    <w:rsid w:val="003D7590"/>
    <w:rsid w:val="003D7C29"/>
    <w:rsid w:val="003E45DA"/>
    <w:rsid w:val="003F2B7E"/>
    <w:rsid w:val="00400EFF"/>
    <w:rsid w:val="00407C74"/>
    <w:rsid w:val="00423CAC"/>
    <w:rsid w:val="004343E5"/>
    <w:rsid w:val="004345DC"/>
    <w:rsid w:val="00435999"/>
    <w:rsid w:val="00437C0D"/>
    <w:rsid w:val="004435A9"/>
    <w:rsid w:val="00446508"/>
    <w:rsid w:val="00452B9B"/>
    <w:rsid w:val="00457C4D"/>
    <w:rsid w:val="00461296"/>
    <w:rsid w:val="00462CBC"/>
    <w:rsid w:val="00462FE9"/>
    <w:rsid w:val="004862F5"/>
    <w:rsid w:val="00494056"/>
    <w:rsid w:val="0049786A"/>
    <w:rsid w:val="004A0BAD"/>
    <w:rsid w:val="004A3936"/>
    <w:rsid w:val="004A610B"/>
    <w:rsid w:val="004B032B"/>
    <w:rsid w:val="004B3DC3"/>
    <w:rsid w:val="004B4A11"/>
    <w:rsid w:val="004B6166"/>
    <w:rsid w:val="004C3E8A"/>
    <w:rsid w:val="004D005F"/>
    <w:rsid w:val="004D4A8A"/>
    <w:rsid w:val="004D4BB3"/>
    <w:rsid w:val="004E07D3"/>
    <w:rsid w:val="004E5A3F"/>
    <w:rsid w:val="004E7E17"/>
    <w:rsid w:val="004F6690"/>
    <w:rsid w:val="004F70D9"/>
    <w:rsid w:val="004F7B20"/>
    <w:rsid w:val="00504D7C"/>
    <w:rsid w:val="0050613E"/>
    <w:rsid w:val="00511974"/>
    <w:rsid w:val="00513195"/>
    <w:rsid w:val="0051522E"/>
    <w:rsid w:val="00515E61"/>
    <w:rsid w:val="00516653"/>
    <w:rsid w:val="0052346C"/>
    <w:rsid w:val="00525AEA"/>
    <w:rsid w:val="005407C4"/>
    <w:rsid w:val="00541FC7"/>
    <w:rsid w:val="00553430"/>
    <w:rsid w:val="00553D98"/>
    <w:rsid w:val="0055494F"/>
    <w:rsid w:val="005604C3"/>
    <w:rsid w:val="00562138"/>
    <w:rsid w:val="0056222E"/>
    <w:rsid w:val="005676D5"/>
    <w:rsid w:val="005828BE"/>
    <w:rsid w:val="005931DD"/>
    <w:rsid w:val="005A04BC"/>
    <w:rsid w:val="005A65FB"/>
    <w:rsid w:val="005B20E6"/>
    <w:rsid w:val="005B46B3"/>
    <w:rsid w:val="005B5510"/>
    <w:rsid w:val="005B664D"/>
    <w:rsid w:val="005B780A"/>
    <w:rsid w:val="005C55FB"/>
    <w:rsid w:val="005D1B76"/>
    <w:rsid w:val="005D42A2"/>
    <w:rsid w:val="005E425E"/>
    <w:rsid w:val="005E55FD"/>
    <w:rsid w:val="005E5C2E"/>
    <w:rsid w:val="005E7351"/>
    <w:rsid w:val="005E751A"/>
    <w:rsid w:val="005F41F2"/>
    <w:rsid w:val="005F516C"/>
    <w:rsid w:val="005F5A2D"/>
    <w:rsid w:val="005F5A33"/>
    <w:rsid w:val="0060191A"/>
    <w:rsid w:val="006066F3"/>
    <w:rsid w:val="006103CD"/>
    <w:rsid w:val="00610F98"/>
    <w:rsid w:val="006129AD"/>
    <w:rsid w:val="00613B83"/>
    <w:rsid w:val="00615EBB"/>
    <w:rsid w:val="00616042"/>
    <w:rsid w:val="0062143F"/>
    <w:rsid w:val="00621E2D"/>
    <w:rsid w:val="00630108"/>
    <w:rsid w:val="0063571B"/>
    <w:rsid w:val="0064045F"/>
    <w:rsid w:val="00641E21"/>
    <w:rsid w:val="0064492F"/>
    <w:rsid w:val="00644CF6"/>
    <w:rsid w:val="00646BC0"/>
    <w:rsid w:val="00650331"/>
    <w:rsid w:val="00650461"/>
    <w:rsid w:val="006523D8"/>
    <w:rsid w:val="00652493"/>
    <w:rsid w:val="00653A36"/>
    <w:rsid w:val="00654795"/>
    <w:rsid w:val="00662D68"/>
    <w:rsid w:val="00666F61"/>
    <w:rsid w:val="00671A8D"/>
    <w:rsid w:val="006771CB"/>
    <w:rsid w:val="006801DF"/>
    <w:rsid w:val="00680349"/>
    <w:rsid w:val="00680CD8"/>
    <w:rsid w:val="006824B6"/>
    <w:rsid w:val="006843F2"/>
    <w:rsid w:val="006855E1"/>
    <w:rsid w:val="00686134"/>
    <w:rsid w:val="006939D7"/>
    <w:rsid w:val="00696688"/>
    <w:rsid w:val="006A0235"/>
    <w:rsid w:val="006A6AF3"/>
    <w:rsid w:val="006A71DF"/>
    <w:rsid w:val="006A7AA6"/>
    <w:rsid w:val="006B176B"/>
    <w:rsid w:val="006B241E"/>
    <w:rsid w:val="006B2556"/>
    <w:rsid w:val="006C54AC"/>
    <w:rsid w:val="006D0421"/>
    <w:rsid w:val="006D04E0"/>
    <w:rsid w:val="006D40DD"/>
    <w:rsid w:val="006D48AE"/>
    <w:rsid w:val="006E4878"/>
    <w:rsid w:val="006F4345"/>
    <w:rsid w:val="006F751B"/>
    <w:rsid w:val="007009D0"/>
    <w:rsid w:val="007040A9"/>
    <w:rsid w:val="00724EEA"/>
    <w:rsid w:val="00727F51"/>
    <w:rsid w:val="00733F59"/>
    <w:rsid w:val="007347C4"/>
    <w:rsid w:val="00735477"/>
    <w:rsid w:val="00737B3A"/>
    <w:rsid w:val="00737DFE"/>
    <w:rsid w:val="007407F3"/>
    <w:rsid w:val="007413E2"/>
    <w:rsid w:val="007418A7"/>
    <w:rsid w:val="007453DE"/>
    <w:rsid w:val="007465BD"/>
    <w:rsid w:val="00747D52"/>
    <w:rsid w:val="00754E42"/>
    <w:rsid w:val="00755662"/>
    <w:rsid w:val="007569A5"/>
    <w:rsid w:val="00760970"/>
    <w:rsid w:val="00761BE4"/>
    <w:rsid w:val="00763CBC"/>
    <w:rsid w:val="00764E4A"/>
    <w:rsid w:val="00766BD6"/>
    <w:rsid w:val="0077768F"/>
    <w:rsid w:val="007777E9"/>
    <w:rsid w:val="00777D93"/>
    <w:rsid w:val="00782FB9"/>
    <w:rsid w:val="00785ECB"/>
    <w:rsid w:val="00787BDD"/>
    <w:rsid w:val="007913DB"/>
    <w:rsid w:val="007952E1"/>
    <w:rsid w:val="00795EDA"/>
    <w:rsid w:val="007A3E69"/>
    <w:rsid w:val="007B6A3E"/>
    <w:rsid w:val="007C000B"/>
    <w:rsid w:val="007D102C"/>
    <w:rsid w:val="007D3BC8"/>
    <w:rsid w:val="007E0291"/>
    <w:rsid w:val="007E0904"/>
    <w:rsid w:val="007E12D0"/>
    <w:rsid w:val="007E3BE3"/>
    <w:rsid w:val="007E5EB9"/>
    <w:rsid w:val="007E5F3C"/>
    <w:rsid w:val="007E6735"/>
    <w:rsid w:val="007F31F4"/>
    <w:rsid w:val="007F5293"/>
    <w:rsid w:val="007F56F0"/>
    <w:rsid w:val="00800462"/>
    <w:rsid w:val="0080288A"/>
    <w:rsid w:val="00804F33"/>
    <w:rsid w:val="00812F38"/>
    <w:rsid w:val="00821DB0"/>
    <w:rsid w:val="00823BEB"/>
    <w:rsid w:val="00830E81"/>
    <w:rsid w:val="0083125D"/>
    <w:rsid w:val="00836D5D"/>
    <w:rsid w:val="008379D7"/>
    <w:rsid w:val="00841BCF"/>
    <w:rsid w:val="00846CA3"/>
    <w:rsid w:val="0085166C"/>
    <w:rsid w:val="0085332A"/>
    <w:rsid w:val="00854897"/>
    <w:rsid w:val="0086099F"/>
    <w:rsid w:val="00862AE0"/>
    <w:rsid w:val="0087528B"/>
    <w:rsid w:val="00881050"/>
    <w:rsid w:val="00881EE9"/>
    <w:rsid w:val="008861A1"/>
    <w:rsid w:val="0088715B"/>
    <w:rsid w:val="0089188A"/>
    <w:rsid w:val="00892CA8"/>
    <w:rsid w:val="00897D70"/>
    <w:rsid w:val="008A0414"/>
    <w:rsid w:val="008A08E5"/>
    <w:rsid w:val="008A2B74"/>
    <w:rsid w:val="008A311E"/>
    <w:rsid w:val="008C0683"/>
    <w:rsid w:val="008C1D54"/>
    <w:rsid w:val="008C6230"/>
    <w:rsid w:val="008C714F"/>
    <w:rsid w:val="008D01FF"/>
    <w:rsid w:val="008D0E1F"/>
    <w:rsid w:val="008D10EE"/>
    <w:rsid w:val="008D27B7"/>
    <w:rsid w:val="008E1A79"/>
    <w:rsid w:val="008E3F70"/>
    <w:rsid w:val="008E4812"/>
    <w:rsid w:val="008E4A7C"/>
    <w:rsid w:val="00901026"/>
    <w:rsid w:val="00901D68"/>
    <w:rsid w:val="00902914"/>
    <w:rsid w:val="0090453C"/>
    <w:rsid w:val="0092310B"/>
    <w:rsid w:val="009253AA"/>
    <w:rsid w:val="009315E5"/>
    <w:rsid w:val="00933CA7"/>
    <w:rsid w:val="0093468A"/>
    <w:rsid w:val="009350A6"/>
    <w:rsid w:val="0094180C"/>
    <w:rsid w:val="00950E4A"/>
    <w:rsid w:val="00951E7D"/>
    <w:rsid w:val="00955B00"/>
    <w:rsid w:val="00955B35"/>
    <w:rsid w:val="00956E9E"/>
    <w:rsid w:val="00960354"/>
    <w:rsid w:val="0096256C"/>
    <w:rsid w:val="00965502"/>
    <w:rsid w:val="00965F46"/>
    <w:rsid w:val="00967098"/>
    <w:rsid w:val="009705D8"/>
    <w:rsid w:val="00971547"/>
    <w:rsid w:val="009746FB"/>
    <w:rsid w:val="00974C60"/>
    <w:rsid w:val="0097691D"/>
    <w:rsid w:val="00983767"/>
    <w:rsid w:val="00984342"/>
    <w:rsid w:val="00984B8F"/>
    <w:rsid w:val="00993004"/>
    <w:rsid w:val="009963FC"/>
    <w:rsid w:val="009A3F22"/>
    <w:rsid w:val="009A7C8C"/>
    <w:rsid w:val="009A7E33"/>
    <w:rsid w:val="009C04B5"/>
    <w:rsid w:val="009C1425"/>
    <w:rsid w:val="009C17F5"/>
    <w:rsid w:val="009C1E9A"/>
    <w:rsid w:val="009D49AB"/>
    <w:rsid w:val="009D7F99"/>
    <w:rsid w:val="009E4ED7"/>
    <w:rsid w:val="009F3471"/>
    <w:rsid w:val="009F6925"/>
    <w:rsid w:val="00A03D8A"/>
    <w:rsid w:val="00A10405"/>
    <w:rsid w:val="00A108B7"/>
    <w:rsid w:val="00A10FDB"/>
    <w:rsid w:val="00A213F2"/>
    <w:rsid w:val="00A23409"/>
    <w:rsid w:val="00A248F1"/>
    <w:rsid w:val="00A24E94"/>
    <w:rsid w:val="00A25FBF"/>
    <w:rsid w:val="00A3235A"/>
    <w:rsid w:val="00A4250B"/>
    <w:rsid w:val="00A429B2"/>
    <w:rsid w:val="00A441A7"/>
    <w:rsid w:val="00A51AA9"/>
    <w:rsid w:val="00A57E36"/>
    <w:rsid w:val="00A57E82"/>
    <w:rsid w:val="00A65E10"/>
    <w:rsid w:val="00A85F31"/>
    <w:rsid w:val="00A9243E"/>
    <w:rsid w:val="00A93B78"/>
    <w:rsid w:val="00A954DA"/>
    <w:rsid w:val="00A9790C"/>
    <w:rsid w:val="00AA35B9"/>
    <w:rsid w:val="00AB57FB"/>
    <w:rsid w:val="00AB64C3"/>
    <w:rsid w:val="00AB6FAF"/>
    <w:rsid w:val="00AE0154"/>
    <w:rsid w:val="00AE7ADA"/>
    <w:rsid w:val="00AF2C37"/>
    <w:rsid w:val="00AF43AB"/>
    <w:rsid w:val="00AF53B6"/>
    <w:rsid w:val="00B0020E"/>
    <w:rsid w:val="00B033A8"/>
    <w:rsid w:val="00B03F91"/>
    <w:rsid w:val="00B04F87"/>
    <w:rsid w:val="00B166D6"/>
    <w:rsid w:val="00B220BE"/>
    <w:rsid w:val="00B3110F"/>
    <w:rsid w:val="00B34084"/>
    <w:rsid w:val="00B34407"/>
    <w:rsid w:val="00B45ABA"/>
    <w:rsid w:val="00B4640F"/>
    <w:rsid w:val="00B50D33"/>
    <w:rsid w:val="00B526AE"/>
    <w:rsid w:val="00B5475E"/>
    <w:rsid w:val="00B56EF8"/>
    <w:rsid w:val="00B63C30"/>
    <w:rsid w:val="00B75488"/>
    <w:rsid w:val="00B7713D"/>
    <w:rsid w:val="00B821B5"/>
    <w:rsid w:val="00B82966"/>
    <w:rsid w:val="00B84452"/>
    <w:rsid w:val="00B84988"/>
    <w:rsid w:val="00B87C11"/>
    <w:rsid w:val="00B912FC"/>
    <w:rsid w:val="00B92894"/>
    <w:rsid w:val="00B92B2A"/>
    <w:rsid w:val="00B95B7A"/>
    <w:rsid w:val="00B970D3"/>
    <w:rsid w:val="00BA049B"/>
    <w:rsid w:val="00BB1F06"/>
    <w:rsid w:val="00BC07FA"/>
    <w:rsid w:val="00BC631D"/>
    <w:rsid w:val="00BC761E"/>
    <w:rsid w:val="00BD26DE"/>
    <w:rsid w:val="00BD3C33"/>
    <w:rsid w:val="00BD4395"/>
    <w:rsid w:val="00BE0724"/>
    <w:rsid w:val="00BE1392"/>
    <w:rsid w:val="00BE5F30"/>
    <w:rsid w:val="00BE7A05"/>
    <w:rsid w:val="00BF38D7"/>
    <w:rsid w:val="00BF4C6A"/>
    <w:rsid w:val="00BF4FE5"/>
    <w:rsid w:val="00C02145"/>
    <w:rsid w:val="00C034F5"/>
    <w:rsid w:val="00C03D6E"/>
    <w:rsid w:val="00C05571"/>
    <w:rsid w:val="00C17657"/>
    <w:rsid w:val="00C31CA7"/>
    <w:rsid w:val="00C329CC"/>
    <w:rsid w:val="00C32F28"/>
    <w:rsid w:val="00C366E9"/>
    <w:rsid w:val="00C410D5"/>
    <w:rsid w:val="00C41B5D"/>
    <w:rsid w:val="00C42B5B"/>
    <w:rsid w:val="00C44FCC"/>
    <w:rsid w:val="00C562CD"/>
    <w:rsid w:val="00C57307"/>
    <w:rsid w:val="00C608B7"/>
    <w:rsid w:val="00C67ADD"/>
    <w:rsid w:val="00C701AE"/>
    <w:rsid w:val="00C70D96"/>
    <w:rsid w:val="00C7464E"/>
    <w:rsid w:val="00C7478C"/>
    <w:rsid w:val="00C76E21"/>
    <w:rsid w:val="00C77113"/>
    <w:rsid w:val="00C778C5"/>
    <w:rsid w:val="00C8792A"/>
    <w:rsid w:val="00C951BA"/>
    <w:rsid w:val="00C97647"/>
    <w:rsid w:val="00CA0F07"/>
    <w:rsid w:val="00CA5541"/>
    <w:rsid w:val="00CA78F0"/>
    <w:rsid w:val="00CB1AB8"/>
    <w:rsid w:val="00CC2716"/>
    <w:rsid w:val="00CC55C9"/>
    <w:rsid w:val="00CD0883"/>
    <w:rsid w:val="00CD20FC"/>
    <w:rsid w:val="00CD485B"/>
    <w:rsid w:val="00CD49FC"/>
    <w:rsid w:val="00CD4EDB"/>
    <w:rsid w:val="00CD6B2D"/>
    <w:rsid w:val="00CD78CD"/>
    <w:rsid w:val="00CE157F"/>
    <w:rsid w:val="00CE712E"/>
    <w:rsid w:val="00CF018C"/>
    <w:rsid w:val="00D003E9"/>
    <w:rsid w:val="00D00A2B"/>
    <w:rsid w:val="00D12AC5"/>
    <w:rsid w:val="00D16C8B"/>
    <w:rsid w:val="00D16D40"/>
    <w:rsid w:val="00D229C6"/>
    <w:rsid w:val="00D24AFE"/>
    <w:rsid w:val="00D2629B"/>
    <w:rsid w:val="00D27CBC"/>
    <w:rsid w:val="00D306D5"/>
    <w:rsid w:val="00D3121F"/>
    <w:rsid w:val="00D332EB"/>
    <w:rsid w:val="00D34235"/>
    <w:rsid w:val="00D365F5"/>
    <w:rsid w:val="00D43F3A"/>
    <w:rsid w:val="00D501F8"/>
    <w:rsid w:val="00D5158E"/>
    <w:rsid w:val="00D5302D"/>
    <w:rsid w:val="00D55404"/>
    <w:rsid w:val="00D55817"/>
    <w:rsid w:val="00D568E5"/>
    <w:rsid w:val="00D62475"/>
    <w:rsid w:val="00D62804"/>
    <w:rsid w:val="00D774F3"/>
    <w:rsid w:val="00D81DA6"/>
    <w:rsid w:val="00D841D6"/>
    <w:rsid w:val="00D86B02"/>
    <w:rsid w:val="00D86E79"/>
    <w:rsid w:val="00D906D6"/>
    <w:rsid w:val="00D92DD9"/>
    <w:rsid w:val="00DA0DA9"/>
    <w:rsid w:val="00DA6688"/>
    <w:rsid w:val="00DB0861"/>
    <w:rsid w:val="00DB14FA"/>
    <w:rsid w:val="00DC0C73"/>
    <w:rsid w:val="00DC2D9A"/>
    <w:rsid w:val="00DD438C"/>
    <w:rsid w:val="00DD54E0"/>
    <w:rsid w:val="00DF1620"/>
    <w:rsid w:val="00DF2EC4"/>
    <w:rsid w:val="00DF75F8"/>
    <w:rsid w:val="00E01BA2"/>
    <w:rsid w:val="00E040D2"/>
    <w:rsid w:val="00E10751"/>
    <w:rsid w:val="00E144F0"/>
    <w:rsid w:val="00E14E8A"/>
    <w:rsid w:val="00E15203"/>
    <w:rsid w:val="00E1759A"/>
    <w:rsid w:val="00E231B4"/>
    <w:rsid w:val="00E24401"/>
    <w:rsid w:val="00E267EF"/>
    <w:rsid w:val="00E32C5D"/>
    <w:rsid w:val="00E44345"/>
    <w:rsid w:val="00E5230C"/>
    <w:rsid w:val="00E526BB"/>
    <w:rsid w:val="00E53817"/>
    <w:rsid w:val="00E545AA"/>
    <w:rsid w:val="00E551FE"/>
    <w:rsid w:val="00E558E6"/>
    <w:rsid w:val="00E56D29"/>
    <w:rsid w:val="00E64C16"/>
    <w:rsid w:val="00E840EF"/>
    <w:rsid w:val="00E84701"/>
    <w:rsid w:val="00E86100"/>
    <w:rsid w:val="00E90027"/>
    <w:rsid w:val="00E92EA3"/>
    <w:rsid w:val="00E96502"/>
    <w:rsid w:val="00EA3499"/>
    <w:rsid w:val="00EA3903"/>
    <w:rsid w:val="00EA48B4"/>
    <w:rsid w:val="00EA7198"/>
    <w:rsid w:val="00EB2129"/>
    <w:rsid w:val="00EB2E66"/>
    <w:rsid w:val="00EB300C"/>
    <w:rsid w:val="00EB3E7B"/>
    <w:rsid w:val="00EB63D0"/>
    <w:rsid w:val="00EB6830"/>
    <w:rsid w:val="00EC0042"/>
    <w:rsid w:val="00EC4BAF"/>
    <w:rsid w:val="00ED19C6"/>
    <w:rsid w:val="00ED350F"/>
    <w:rsid w:val="00ED57BB"/>
    <w:rsid w:val="00ED7450"/>
    <w:rsid w:val="00ED7879"/>
    <w:rsid w:val="00EE079C"/>
    <w:rsid w:val="00EE1A2A"/>
    <w:rsid w:val="00EE236C"/>
    <w:rsid w:val="00EE508D"/>
    <w:rsid w:val="00EF1D38"/>
    <w:rsid w:val="00EF365E"/>
    <w:rsid w:val="00EF453D"/>
    <w:rsid w:val="00EF4EC2"/>
    <w:rsid w:val="00EF7A43"/>
    <w:rsid w:val="00F05AA7"/>
    <w:rsid w:val="00F06106"/>
    <w:rsid w:val="00F07794"/>
    <w:rsid w:val="00F07A24"/>
    <w:rsid w:val="00F10670"/>
    <w:rsid w:val="00F14C92"/>
    <w:rsid w:val="00F2043A"/>
    <w:rsid w:val="00F2062D"/>
    <w:rsid w:val="00F2485E"/>
    <w:rsid w:val="00F268C5"/>
    <w:rsid w:val="00F32347"/>
    <w:rsid w:val="00F35684"/>
    <w:rsid w:val="00F35C2E"/>
    <w:rsid w:val="00F37CB3"/>
    <w:rsid w:val="00F44B3B"/>
    <w:rsid w:val="00F46083"/>
    <w:rsid w:val="00F52BE5"/>
    <w:rsid w:val="00F539AB"/>
    <w:rsid w:val="00F6494B"/>
    <w:rsid w:val="00F66C11"/>
    <w:rsid w:val="00F723BA"/>
    <w:rsid w:val="00F7442A"/>
    <w:rsid w:val="00F76438"/>
    <w:rsid w:val="00F81310"/>
    <w:rsid w:val="00F91E63"/>
    <w:rsid w:val="00F92653"/>
    <w:rsid w:val="00F929F9"/>
    <w:rsid w:val="00FA3249"/>
    <w:rsid w:val="00FA70F6"/>
    <w:rsid w:val="00FB0D32"/>
    <w:rsid w:val="00FB40FC"/>
    <w:rsid w:val="00FB5444"/>
    <w:rsid w:val="00FB7F74"/>
    <w:rsid w:val="00FC7187"/>
    <w:rsid w:val="00FD37C1"/>
    <w:rsid w:val="00FD71AA"/>
    <w:rsid w:val="00FD7427"/>
    <w:rsid w:val="00FE1B7A"/>
    <w:rsid w:val="00FE4990"/>
    <w:rsid w:val="00FF0405"/>
    <w:rsid w:val="00FF48B6"/>
    <w:rsid w:val="00FF6492"/>
    <w:rsid w:val="00FF6BE9"/>
    <w:rsid w:val="295E62EF"/>
    <w:rsid w:val="338B5AF2"/>
    <w:rsid w:val="39081FFC"/>
    <w:rsid w:val="3EBD6C8D"/>
    <w:rsid w:val="65EE4259"/>
    <w:rsid w:val="69A91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bCs/>
    </w:rPr>
  </w:style>
  <w:style w:type="character" w:styleId="9">
    <w:name w:val="Hyperlink"/>
    <w:qFormat/>
    <w:uiPriority w:val="0"/>
    <w:rPr>
      <w:color w:val="0000FF"/>
      <w:u w:val="single"/>
    </w:rPr>
  </w:style>
  <w:style w:type="paragraph" w:customStyle="1" w:styleId="10">
    <w:name w:val="Char Char Char Char Char Char Char"/>
    <w:basedOn w:val="1"/>
    <w:qFormat/>
    <w:uiPriority w:val="0"/>
    <w:rPr>
      <w:rFonts w:ascii="Tahoma" w:hAnsi="Tahoma"/>
      <w:sz w:val="24"/>
      <w:szCs w:val="20"/>
    </w:rPr>
  </w:style>
  <w:style w:type="paragraph" w:styleId="11">
    <w:name w:val="List Paragraph"/>
    <w:basedOn w:val="1"/>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300</Words>
  <Characters>1713</Characters>
  <Lines>14</Lines>
  <Paragraphs>4</Paragraphs>
  <TotalTime>2</TotalTime>
  <ScaleCrop>false</ScaleCrop>
  <LinksUpToDate>false</LinksUpToDate>
  <CharactersWithSpaces>2009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2020-06-02T06:28:00Z</dcterms:created>
  <dc:creator>liuzhaoxing</dc:creator>
  <cp:lastModifiedBy>好一朵</cp:lastModifiedBy>
  <cp:lastPrinted>2020-06-02T01:56:00Z</cp:lastPrinted>
  <dcterms:modified xsi:type="dcterms:W3CDTF">2020-06-05T08:27:30Z</dcterms:modified>
  <dc:title>机械与动力工程学院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