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华文行楷" w:eastAsia="华文行楷"/>
          <w:sz w:val="36"/>
          <w:szCs w:val="36"/>
          <w:u w:val="single"/>
        </w:rPr>
        <w:t>安全科学与工程</w:t>
      </w:r>
      <w:r>
        <w:rPr>
          <w:rFonts w:hint="eastAsia" w:ascii="华文行楷" w:eastAsia="华文行楷"/>
          <w:sz w:val="36"/>
          <w:szCs w:val="36"/>
        </w:rPr>
        <w:t>学院</w:t>
      </w:r>
      <w:r>
        <w:rPr>
          <w:rFonts w:hint="eastAsia" w:ascii="黑体" w:eastAsia="黑体"/>
          <w:sz w:val="36"/>
          <w:szCs w:val="36"/>
        </w:rPr>
        <w:t>2020年博士研究生招生方案及录取办法</w:t>
      </w:r>
    </w:p>
    <w:p>
      <w:pPr>
        <w:numPr>
          <w:ilvl w:val="0"/>
          <w:numId w:val="1"/>
        </w:num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远程考核时间：</w:t>
      </w:r>
    </w:p>
    <w:p>
      <w:pPr>
        <w:spacing w:line="360" w:lineRule="auto"/>
        <w:ind w:left="426" w:leftChars="-7" w:hanging="441" w:hangingChars="184"/>
        <w:rPr>
          <w:rFonts w:ascii="宋体" w:hAnsi="宋体"/>
          <w:sz w:val="24"/>
        </w:rPr>
      </w:pPr>
      <w:r>
        <w:rPr>
          <w:rFonts w:hint="eastAsia" w:ascii="宋体" w:hAnsi="宋体"/>
          <w:sz w:val="24"/>
        </w:rPr>
        <w:t>初试：</w:t>
      </w:r>
      <w:r>
        <w:rPr>
          <w:rFonts w:hint="eastAsia" w:ascii="宋体" w:hAnsi="宋体"/>
          <w:sz w:val="24"/>
          <w:lang w:val="en-US" w:eastAsia="zh-CN"/>
        </w:rPr>
        <w:t>6月16日</w:t>
      </w:r>
    </w:p>
    <w:p>
      <w:pPr>
        <w:spacing w:line="360" w:lineRule="auto"/>
        <w:ind w:left="426" w:leftChars="-7" w:hanging="441" w:hangingChars="184"/>
        <w:rPr>
          <w:rFonts w:ascii="黑体" w:hAnsi="宋体" w:eastAsia="黑体"/>
          <w:sz w:val="28"/>
          <w:szCs w:val="28"/>
        </w:rPr>
      </w:pPr>
      <w:r>
        <w:rPr>
          <w:rFonts w:hint="eastAsia" w:ascii="宋体" w:hAnsi="宋体"/>
          <w:sz w:val="24"/>
        </w:rPr>
        <w:t>复试：6月</w:t>
      </w:r>
      <w:r>
        <w:rPr>
          <w:rFonts w:hint="eastAsia" w:ascii="宋体" w:hAnsi="宋体"/>
          <w:sz w:val="24"/>
          <w:lang w:val="en-US" w:eastAsia="zh-CN"/>
        </w:rPr>
        <w:t>20日</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二、材料审核提交材料：</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sz w:val="24"/>
        </w:rPr>
        <w:t>将申请材料扫描制成PDF格式（做成类似论文合集的样式，包含封面目录），</w:t>
      </w:r>
      <w:r>
        <w:rPr>
          <w:rFonts w:hint="eastAsia"/>
          <w:sz w:val="24"/>
        </w:rPr>
        <w:t>于6月</w:t>
      </w:r>
      <w:r>
        <w:rPr>
          <w:rFonts w:hint="eastAsia"/>
          <w:sz w:val="24"/>
          <w:lang w:val="en-US" w:eastAsia="zh-CN"/>
        </w:rPr>
        <w:t>12</w:t>
      </w:r>
      <w:r>
        <w:rPr>
          <w:rFonts w:hint="eastAsia"/>
          <w:sz w:val="24"/>
        </w:rPr>
        <w:t>日前</w:t>
      </w:r>
      <w:r>
        <w:rPr>
          <w:rFonts w:ascii="宋体" w:hAnsi="宋体" w:cs="宋体"/>
          <w:bCs/>
          <w:color w:val="000000"/>
          <w:kern w:val="0"/>
          <w:sz w:val="24"/>
          <w:shd w:val="clear" w:color="auto" w:fill="FFFFFF"/>
        </w:rPr>
        <w:t>以考生姓名+报考导师姓名作为文件名发至学院招生邮箱safe001_njtech@163.com，邮件主题</w:t>
      </w:r>
      <w:r>
        <w:rPr>
          <w:rFonts w:hint="eastAsia" w:ascii="宋体" w:hAnsi="宋体" w:cs="宋体"/>
          <w:bCs/>
          <w:color w:val="000000"/>
          <w:kern w:val="0"/>
          <w:sz w:val="24"/>
          <w:shd w:val="clear" w:color="auto" w:fill="FFFFFF"/>
        </w:rPr>
        <w:t>需</w:t>
      </w:r>
      <w:r>
        <w:rPr>
          <w:rFonts w:ascii="宋体" w:hAnsi="宋体" w:cs="宋体"/>
          <w:bCs/>
          <w:color w:val="000000"/>
          <w:kern w:val="0"/>
          <w:sz w:val="24"/>
          <w:shd w:val="clear" w:color="auto" w:fill="FFFFFF"/>
        </w:rPr>
        <w:t>注明2020</w:t>
      </w:r>
      <w:r>
        <w:rPr>
          <w:rFonts w:hint="eastAsia" w:ascii="宋体" w:hAnsi="宋体" w:cs="宋体"/>
          <w:color w:val="000000"/>
          <w:sz w:val="24"/>
          <w:lang w:bidi="ar"/>
        </w:rPr>
        <w:t>年博士报考，</w:t>
      </w:r>
      <w:r>
        <w:rPr>
          <w:sz w:val="24"/>
        </w:rPr>
        <w:t>申请材料包括：</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（1）身份证正反面</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（2）博士网上报名登记表</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（3）应届硕士毕业生提交《教育部学籍在线验证报告》和学生证学校盖章页。 应届硕士毕业生会在博士入学报到时查验研究生毕业证书和硕士学位证书原件。往届硕士研究生提交学位证书和毕业证书；国外本科或硕士学历学位获得者须提供教育部留学服务中心的认证报告</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（4）本科和硕士阶段成绩单一份（复印件加盖所在学校研究生管理部门成绩公章或考生档案所在管理部门公章）。</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 xml:space="preserve">（5）外语水平成绩证明一份； </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（6）已获得硕士学位人员提供硕士学位论文摘要（全文电子版请务必发给所报考导师查看），应届硕士毕业生需提供硕士论文开题报告及进展情况报告；同等学力人员提供同等学力证明材料。</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（7）申请者已发表论文、出版专著、获奖证书等</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（8）</w:t>
      </w:r>
      <w:r>
        <w:rPr>
          <w:sz w:val="24"/>
        </w:rPr>
        <w:t>研究生活动证明材料（在读期间参加研究生科技论坛活动、江苏省研究生培养创新工程项目申报或各类创新创业大赛等活动）；</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（9）两名以上专家推荐意见</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（10）个人科研计划书（包括个人简介、研究经历、研究兴趣、科研成果、攻博研究计划等， 1500-2000 字）。</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（11）思想品德鉴定表（单位盖章）</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（12）在职人员须提供单位人事部门开具的同意报考证明。</w:t>
      </w:r>
    </w:p>
    <w:p>
      <w:pPr>
        <w:autoSpaceDE w:val="0"/>
        <w:autoSpaceDN w:val="0"/>
        <w:spacing w:line="360" w:lineRule="auto"/>
        <w:ind w:firstLine="484" w:firstLineChars="202"/>
        <w:jc w:val="left"/>
        <w:rPr>
          <w:rFonts w:hint="eastAsia" w:ascii="宋体" w:hAnsi="宋体" w:cs="宋体"/>
          <w:bCs/>
          <w:color w:val="000000"/>
          <w:kern w:val="0"/>
          <w:sz w:val="24"/>
          <w:shd w:val="clear" w:color="auto" w:fill="FFFFFF"/>
        </w:rPr>
      </w:pPr>
    </w:p>
    <w:p>
      <w:pPr>
        <w:autoSpaceDE w:val="0"/>
        <w:autoSpaceDN w:val="0"/>
        <w:spacing w:line="360" w:lineRule="auto"/>
        <w:ind w:firstLine="484" w:firstLineChars="202"/>
        <w:jc w:val="left"/>
        <w:rPr>
          <w:rFonts w:hint="eastAsia"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注：（1）请严格按照上述要求准备申请材料，材料中签字、盖章务必完备，按</w:t>
      </w:r>
      <w:r>
        <w:rPr>
          <w:rFonts w:hint="eastAsia" w:ascii="宋体" w:hAnsi="宋体" w:cs="宋体"/>
          <w:bCs/>
          <w:color w:val="000000"/>
          <w:kern w:val="0"/>
          <w:sz w:val="24"/>
          <w:shd w:val="clear" w:color="auto" w:fill="FFFFFF"/>
        </w:rPr>
        <w:t>标号顺序排好；</w:t>
      </w:r>
    </w:p>
    <w:p>
      <w:pPr>
        <w:autoSpaceDE w:val="0"/>
        <w:autoSpaceDN w:val="0"/>
        <w:spacing w:line="360" w:lineRule="auto"/>
        <w:ind w:firstLine="484" w:firstLineChars="202"/>
        <w:jc w:val="left"/>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（2）考生提供的所有报考材料均应属实、准确，如有弄虚作假，将取消考试、录取资格。</w:t>
      </w:r>
    </w:p>
    <w:p>
      <w:pPr>
        <w:autoSpaceDE w:val="0"/>
        <w:autoSpaceDN w:val="0"/>
        <w:spacing w:line="360" w:lineRule="auto"/>
        <w:ind w:firstLine="484" w:firstLineChars="202"/>
        <w:jc w:val="left"/>
        <w:rPr>
          <w:rFonts w:ascii="黑体" w:hAnsi="宋体" w:eastAsia="黑体"/>
          <w:sz w:val="28"/>
          <w:szCs w:val="28"/>
        </w:rPr>
      </w:pPr>
      <w:r>
        <w:rPr>
          <w:rFonts w:hint="eastAsia" w:ascii="宋体" w:hAnsi="宋体" w:cs="宋体"/>
          <w:bCs/>
          <w:color w:val="000000"/>
          <w:kern w:val="0"/>
          <w:sz w:val="24"/>
          <w:shd w:val="clear" w:color="auto" w:fill="FFFFFF"/>
        </w:rPr>
        <w:t>（3）每份申请材料由 5 位专家逐一审核，百分制打分，最后取平均分，低于60分即为不通过。</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三、远程考核</w:t>
      </w:r>
      <w:r>
        <w:rPr>
          <w:rFonts w:ascii="黑体" w:hAnsi="宋体" w:eastAsia="黑体"/>
          <w:sz w:val="28"/>
          <w:szCs w:val="28"/>
        </w:rPr>
        <w:t>安排</w:t>
      </w:r>
      <w:r>
        <w:rPr>
          <w:rFonts w:hint="eastAsia" w:ascii="黑体" w:hAnsi="宋体" w:eastAsia="黑体"/>
          <w:sz w:val="28"/>
          <w:szCs w:val="28"/>
        </w:rPr>
        <w:t>：</w:t>
      </w:r>
    </w:p>
    <w:p>
      <w:pPr>
        <w:spacing w:line="360" w:lineRule="auto"/>
        <w:ind w:left="428" w:leftChars="-122" w:hanging="684" w:hangingChars="285"/>
        <w:rPr>
          <w:rFonts w:ascii="宋体" w:hAnsi="宋体"/>
          <w:sz w:val="24"/>
        </w:rPr>
      </w:pPr>
      <w:r>
        <w:rPr>
          <w:rFonts w:hint="eastAsia" w:ascii="宋体" w:hAnsi="宋体"/>
          <w:sz w:val="24"/>
        </w:rPr>
        <w:t xml:space="preserve">  （1）初试考核内容：</w:t>
      </w:r>
      <w:r>
        <w:rPr>
          <w:rFonts w:hint="eastAsia" w:asciiTheme="minorEastAsia" w:hAnsiTheme="minorEastAsia" w:cstheme="minorEastAsia"/>
          <w:bCs/>
          <w:color w:val="000000" w:themeColor="text1"/>
          <w:sz w:val="24"/>
          <w:shd w:val="clear" w:color="auto" w:fill="FFFFFF"/>
          <w14:textFill>
            <w14:solidFill>
              <w14:schemeClr w14:val="tx1"/>
            </w14:solidFill>
          </w14:textFill>
        </w:rPr>
        <w:t>初试科目为两门业务课。初试采用线上考核方式，以综合性、开放性和能力型试题为主。每场考试时间为90分钟，考试为开卷考试，考生可翻阅相关书籍和材料，不得使用互联网等电子设备进行搜索。考题采用投屏形式，并同时将考题以邮件形式发送给学生。考试结束后，学生通过网络向学院提交符合格式、清晰可辨的电子版答题纸。</w:t>
      </w:r>
      <w:r>
        <w:rPr>
          <w:rFonts w:hint="eastAsia" w:ascii="宋体" w:hAnsi="宋体"/>
          <w:sz w:val="24"/>
        </w:rPr>
        <w:t xml:space="preserve"> </w:t>
      </w:r>
    </w:p>
    <w:p>
      <w:pPr>
        <w:spacing w:line="360" w:lineRule="auto"/>
        <w:ind w:left="426" w:leftChars="203" w:firstLine="240" w:firstLineChars="100"/>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01组：</w:t>
      </w:r>
    </w:p>
    <w:p>
      <w:pPr>
        <w:spacing w:line="360" w:lineRule="auto"/>
        <w:ind w:left="428" w:leftChars="-122" w:hanging="684" w:hangingChars="285"/>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第一门：2016传热学（安工）或2017安全学原理与应用（安工）或2018化工安全（三选一）</w:t>
      </w:r>
    </w:p>
    <w:p>
      <w:pPr>
        <w:spacing w:line="360" w:lineRule="auto"/>
        <w:ind w:left="428" w:leftChars="-122" w:hanging="684" w:hangingChars="285"/>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第二门：3010学科研究进展（安工）</w:t>
      </w:r>
    </w:p>
    <w:p>
      <w:pPr>
        <w:spacing w:line="360" w:lineRule="auto"/>
        <w:ind w:left="426" w:leftChars="203" w:firstLine="240" w:firstLineChars="100"/>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02组：</w:t>
      </w:r>
    </w:p>
    <w:p>
      <w:pPr>
        <w:spacing w:line="360" w:lineRule="auto"/>
        <w:ind w:left="428" w:leftChars="-122" w:hanging="684" w:hangingChars="285"/>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第一门：2019概率统计或2020公共安全与风险管理（二选一）</w:t>
      </w:r>
    </w:p>
    <w:p>
      <w:pPr>
        <w:spacing w:line="360" w:lineRule="auto"/>
        <w:ind w:left="428" w:leftChars="-122" w:hanging="684" w:hangingChars="285"/>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第二门：3010学科研究进展（安工）</w:t>
      </w:r>
    </w:p>
    <w:p>
      <w:pPr>
        <w:spacing w:line="360" w:lineRule="auto"/>
        <w:rPr>
          <w:rFonts w:asciiTheme="minorEastAsia" w:hAnsiTheme="minorEastAsia" w:cstheme="minorEastAsia"/>
          <w:bCs/>
          <w:color w:val="000000" w:themeColor="text1"/>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hd w:val="clear" w:color="auto" w:fill="FFFFFF"/>
          <w14:textFill>
            <w14:solidFill>
              <w14:schemeClr w14:val="tx1"/>
            </w14:solidFill>
          </w14:textFill>
        </w:rPr>
        <w:t xml:space="preserve">   考核科目及参考书目如下：</w:t>
      </w:r>
    </w:p>
    <w:tbl>
      <w:tblPr>
        <w:tblStyle w:val="6"/>
        <w:tblpPr w:leftFromText="180" w:rightFromText="180" w:vertAnchor="text" w:horzAnchor="margin" w:tblpXSpec="center" w:tblpY="1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3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专业水平考核科目名称</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适用专业代码及名称</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2016传热学（安工）</w:t>
            </w:r>
          </w:p>
        </w:tc>
        <w:tc>
          <w:tcPr>
            <w:tcW w:w="1534" w:type="dxa"/>
            <w:vMerge w:val="restart"/>
            <w:tcBorders>
              <w:top w:val="single" w:color="auto" w:sz="4" w:space="0"/>
              <w:left w:val="single" w:color="auto" w:sz="4" w:space="0"/>
              <w:right w:val="single" w:color="auto" w:sz="4" w:space="0"/>
            </w:tcBorders>
            <w:vAlign w:val="center"/>
          </w:tcPr>
          <w:p>
            <w:pPr>
              <w:spacing w:line="280" w:lineRule="exact"/>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0837安全科学与工程</w:t>
            </w:r>
          </w:p>
        </w:tc>
        <w:tc>
          <w:tcPr>
            <w:tcW w:w="3420" w:type="dxa"/>
            <w:tcBorders>
              <w:top w:val="single" w:color="auto" w:sz="4" w:space="0"/>
              <w:left w:val="single" w:color="auto" w:sz="4" w:space="0"/>
              <w:right w:val="single" w:color="auto" w:sz="4" w:space="0"/>
            </w:tcBorders>
            <w:vAlign w:val="center"/>
          </w:tcPr>
          <w:p>
            <w:pPr>
              <w:spacing w:line="260" w:lineRule="exact"/>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宋体" w:hAnsi="宋体"/>
                <w:color w:val="000000"/>
                <w:kern w:val="0"/>
                <w:sz w:val="18"/>
                <w:szCs w:val="18"/>
              </w:rPr>
              <w:t>《传热学》，杨世铭、陶文铨，高等教育出版社，第三版，2003；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2017安全学原理与应用（安工）</w:t>
            </w:r>
          </w:p>
        </w:tc>
        <w:tc>
          <w:tcPr>
            <w:tcW w:w="1534" w:type="dxa"/>
            <w:vMerge w:val="continue"/>
            <w:tcBorders>
              <w:left w:val="single" w:color="auto" w:sz="4" w:space="0"/>
              <w:right w:val="single" w:color="auto" w:sz="4" w:space="0"/>
            </w:tcBorders>
            <w:vAlign w:val="center"/>
          </w:tcPr>
          <w:p>
            <w:pPr>
              <w:spacing w:line="280" w:lineRule="exact"/>
              <w:rPr>
                <w:rFonts w:ascii="宋体" w:hAnsi="宋体"/>
                <w:sz w:val="24"/>
              </w:rPr>
            </w:pPr>
          </w:p>
        </w:tc>
        <w:tc>
          <w:tcPr>
            <w:tcW w:w="3420" w:type="dxa"/>
            <w:tcBorders>
              <w:left w:val="single" w:color="auto" w:sz="4" w:space="0"/>
              <w:right w:val="single" w:color="auto" w:sz="4" w:space="0"/>
            </w:tcBorders>
            <w:vAlign w:val="center"/>
          </w:tcPr>
          <w:p>
            <w:pPr>
              <w:snapToGrid w:val="0"/>
              <w:spacing w:line="260" w:lineRule="exact"/>
              <w:ind w:right="42" w:rightChars="20"/>
              <w:jc w:val="left"/>
              <w:rPr>
                <w:rFonts w:ascii="宋体" w:hAnsi="宋体"/>
                <w:color w:val="000000"/>
                <w:kern w:val="0"/>
                <w:sz w:val="18"/>
                <w:szCs w:val="18"/>
              </w:rPr>
            </w:pPr>
            <w:r>
              <w:rPr>
                <w:rFonts w:hint="eastAsia" w:ascii="宋体" w:hAnsi="宋体"/>
                <w:color w:val="000000"/>
                <w:kern w:val="0"/>
                <w:sz w:val="18"/>
                <w:szCs w:val="18"/>
              </w:rPr>
              <w:t>《化工过程安全理论及应用（译著）》，蒋军成，化学工业出版社，</w:t>
            </w:r>
            <w:r>
              <w:rPr>
                <w:rFonts w:ascii="宋体" w:hAnsi="宋体"/>
                <w:color w:val="000000"/>
                <w:kern w:val="0"/>
                <w:sz w:val="18"/>
                <w:szCs w:val="18"/>
              </w:rPr>
              <w:t>2006</w:t>
            </w:r>
            <w:r>
              <w:rPr>
                <w:rFonts w:hint="eastAsia" w:ascii="宋体" w:hAnsi="宋体"/>
                <w:color w:val="000000"/>
                <w:kern w:val="0"/>
                <w:sz w:val="18"/>
                <w:szCs w:val="18"/>
              </w:rPr>
              <w:t>；</w:t>
            </w:r>
          </w:p>
          <w:p>
            <w:pPr>
              <w:spacing w:line="260" w:lineRule="exact"/>
              <w:rPr>
                <w:sz w:val="24"/>
              </w:rPr>
            </w:pPr>
            <w:r>
              <w:rPr>
                <w:rFonts w:hint="eastAsia" w:ascii="宋体" w:hAnsi="宋体"/>
                <w:kern w:val="0"/>
                <w:sz w:val="18"/>
                <w:szCs w:val="18"/>
              </w:rPr>
              <w:t>《安全工程学原理》，王志荣，中国石化出版社，2018。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2018化工安全</w:t>
            </w:r>
          </w:p>
        </w:tc>
        <w:tc>
          <w:tcPr>
            <w:tcW w:w="1534" w:type="dxa"/>
            <w:vMerge w:val="continue"/>
            <w:tcBorders>
              <w:left w:val="single" w:color="auto" w:sz="4" w:space="0"/>
              <w:right w:val="single" w:color="auto" w:sz="4" w:space="0"/>
            </w:tcBorders>
            <w:vAlign w:val="center"/>
          </w:tcPr>
          <w:p>
            <w:pPr>
              <w:spacing w:line="280" w:lineRule="exact"/>
              <w:rPr>
                <w:rFonts w:ascii="宋体" w:hAnsi="宋体"/>
                <w:sz w:val="24"/>
              </w:rPr>
            </w:pPr>
          </w:p>
        </w:tc>
        <w:tc>
          <w:tcPr>
            <w:tcW w:w="3420" w:type="dxa"/>
            <w:tcBorders>
              <w:left w:val="single" w:color="auto" w:sz="4" w:space="0"/>
              <w:right w:val="single" w:color="auto" w:sz="4" w:space="0"/>
            </w:tcBorders>
            <w:vAlign w:val="center"/>
          </w:tcPr>
          <w:p>
            <w:pPr>
              <w:spacing w:line="260" w:lineRule="exact"/>
              <w:rPr>
                <w:rFonts w:hint="eastAsia" w:ascii="宋体" w:hAnsi="宋体"/>
                <w:color w:val="000000"/>
                <w:kern w:val="0"/>
                <w:sz w:val="18"/>
                <w:szCs w:val="18"/>
              </w:rPr>
            </w:pPr>
            <w:r>
              <w:rPr>
                <w:rFonts w:hint="eastAsia" w:ascii="宋体" w:hAnsi="宋体"/>
                <w:color w:val="000000"/>
                <w:kern w:val="0"/>
                <w:sz w:val="18"/>
                <w:szCs w:val="18"/>
              </w:rPr>
              <w:t>《化工安全》，蒋军成，中国社会劳动保障出版社，</w:t>
            </w:r>
            <w:r>
              <w:rPr>
                <w:rFonts w:ascii="宋体" w:hAnsi="宋体"/>
                <w:color w:val="000000"/>
                <w:kern w:val="0"/>
                <w:sz w:val="18"/>
                <w:szCs w:val="18"/>
              </w:rPr>
              <w:t>200</w:t>
            </w:r>
            <w:r>
              <w:rPr>
                <w:rFonts w:hint="eastAsia" w:ascii="宋体" w:hAnsi="宋体"/>
                <w:color w:val="000000"/>
                <w:kern w:val="0"/>
                <w:sz w:val="18"/>
                <w:szCs w:val="18"/>
              </w:rPr>
              <w:t>8；</w:t>
            </w:r>
          </w:p>
          <w:p>
            <w:pPr>
              <w:spacing w:line="260" w:lineRule="exact"/>
              <w:rPr>
                <w:sz w:val="24"/>
              </w:rPr>
            </w:pPr>
            <w:r>
              <w:rPr>
                <w:rFonts w:hint="eastAsia"/>
                <w:kern w:val="0"/>
                <w:sz w:val="18"/>
                <w:szCs w:val="18"/>
              </w:rPr>
              <w:t>潘旭海等. 燃烧爆炸理论及应用[M]. 北京：化学工业出版社，2015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2019概率统计</w:t>
            </w:r>
          </w:p>
        </w:tc>
        <w:tc>
          <w:tcPr>
            <w:tcW w:w="1534" w:type="dxa"/>
            <w:vMerge w:val="continue"/>
            <w:tcBorders>
              <w:left w:val="single" w:color="auto" w:sz="4" w:space="0"/>
              <w:right w:val="single" w:color="auto" w:sz="4" w:space="0"/>
            </w:tcBorders>
            <w:vAlign w:val="center"/>
          </w:tcPr>
          <w:p>
            <w:pPr>
              <w:spacing w:line="280" w:lineRule="exact"/>
              <w:rPr>
                <w:rFonts w:ascii="宋体" w:hAnsi="宋体"/>
                <w:sz w:val="24"/>
              </w:rPr>
            </w:pPr>
          </w:p>
        </w:tc>
        <w:tc>
          <w:tcPr>
            <w:tcW w:w="3420" w:type="dxa"/>
            <w:tcBorders>
              <w:left w:val="single" w:color="auto" w:sz="4" w:space="0"/>
              <w:right w:val="single" w:color="auto" w:sz="4" w:space="0"/>
            </w:tcBorders>
            <w:vAlign w:val="center"/>
          </w:tcPr>
          <w:p>
            <w:pPr>
              <w:rPr>
                <w:sz w:val="24"/>
              </w:rPr>
            </w:pPr>
            <w:r>
              <w:rPr>
                <w:rFonts w:hint="eastAsia"/>
                <w:sz w:val="24"/>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2020公共安全与风险管理</w:t>
            </w:r>
          </w:p>
        </w:tc>
        <w:tc>
          <w:tcPr>
            <w:tcW w:w="1534" w:type="dxa"/>
            <w:vMerge w:val="continue"/>
            <w:tcBorders>
              <w:left w:val="single" w:color="auto" w:sz="4" w:space="0"/>
              <w:right w:val="single" w:color="auto" w:sz="4" w:space="0"/>
            </w:tcBorders>
            <w:vAlign w:val="center"/>
          </w:tcPr>
          <w:p>
            <w:pPr>
              <w:spacing w:line="280" w:lineRule="exact"/>
              <w:rPr>
                <w:rFonts w:ascii="宋体" w:hAnsi="宋体"/>
                <w:sz w:val="24"/>
              </w:rPr>
            </w:pPr>
          </w:p>
        </w:tc>
        <w:tc>
          <w:tcPr>
            <w:tcW w:w="3420" w:type="dxa"/>
            <w:tcBorders>
              <w:left w:val="single" w:color="auto" w:sz="4" w:space="0"/>
              <w:right w:val="single" w:color="auto" w:sz="4" w:space="0"/>
            </w:tcBorders>
            <w:vAlign w:val="center"/>
          </w:tcPr>
          <w:p>
            <w:pPr>
              <w:rPr>
                <w:sz w:val="24"/>
              </w:rPr>
            </w:pPr>
            <w:r>
              <w:rPr>
                <w:rFonts w:hint="eastAsia"/>
                <w:sz w:val="24"/>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94" w:type="dxa"/>
            <w:tcBorders>
              <w:top w:val="single" w:color="auto" w:sz="4" w:space="0"/>
              <w:left w:val="single" w:color="auto" w:sz="4" w:space="0"/>
              <w:right w:val="single" w:color="auto" w:sz="4" w:space="0"/>
            </w:tcBorders>
            <w:shd w:val="clear" w:color="auto" w:fill="auto"/>
            <w:vAlign w:val="center"/>
          </w:tcPr>
          <w:p>
            <w:pPr>
              <w:rPr>
                <w:rFonts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hd w:val="clear" w:color="auto" w:fill="FFFFFF"/>
                <w14:textFill>
                  <w14:solidFill>
                    <w14:schemeClr w14:val="tx1"/>
                  </w14:solidFill>
                </w14:textFill>
              </w:rPr>
              <w:t>3010学科研究进展（安工）</w:t>
            </w:r>
          </w:p>
        </w:tc>
        <w:tc>
          <w:tcPr>
            <w:tcW w:w="1534" w:type="dxa"/>
            <w:vMerge w:val="continue"/>
            <w:tcBorders>
              <w:left w:val="single" w:color="auto" w:sz="4" w:space="0"/>
              <w:right w:val="single" w:color="auto" w:sz="4" w:space="0"/>
            </w:tcBorders>
            <w:vAlign w:val="center"/>
          </w:tcPr>
          <w:p>
            <w:pPr>
              <w:spacing w:line="280" w:lineRule="exact"/>
              <w:rPr>
                <w:rFonts w:ascii="宋体" w:hAnsi="宋体"/>
                <w:sz w:val="24"/>
              </w:rPr>
            </w:pPr>
          </w:p>
        </w:tc>
        <w:tc>
          <w:tcPr>
            <w:tcW w:w="3420" w:type="dxa"/>
            <w:tcBorders>
              <w:left w:val="single" w:color="auto" w:sz="4" w:space="0"/>
              <w:right w:val="single" w:color="auto" w:sz="4" w:space="0"/>
            </w:tcBorders>
            <w:vAlign w:val="center"/>
          </w:tcPr>
          <w:p>
            <w:pPr>
              <w:rPr>
                <w:sz w:val="24"/>
              </w:rPr>
            </w:pPr>
            <w:r>
              <w:rPr>
                <w:rFonts w:hint="eastAsia"/>
                <w:sz w:val="24"/>
              </w:rPr>
              <w:t>略</w:t>
            </w:r>
          </w:p>
        </w:tc>
      </w:tr>
    </w:tbl>
    <w:p>
      <w:pPr>
        <w:adjustRightInd w:val="0"/>
        <w:snapToGrid w:val="0"/>
        <w:rPr>
          <w:rFonts w:ascii="黑体" w:hAnsi="宋体" w:eastAsia="黑体"/>
          <w:sz w:val="24"/>
        </w:rPr>
      </w:pPr>
    </w:p>
    <w:p>
      <w:pPr>
        <w:pStyle w:val="12"/>
        <w:spacing w:line="360" w:lineRule="auto"/>
        <w:ind w:firstLineChars="0"/>
        <w:rPr>
          <w:rFonts w:ascii="宋体" w:hAnsi="宋体" w:eastAsia="宋体"/>
          <w:color w:val="FF0000"/>
          <w:sz w:val="24"/>
          <w:szCs w:val="24"/>
        </w:rPr>
      </w:pPr>
      <w:r>
        <w:rPr>
          <w:rFonts w:ascii="宋体" w:hAnsi="宋体" w:eastAsia="宋体"/>
          <w:sz w:val="24"/>
          <w:szCs w:val="24"/>
        </w:rPr>
        <w:t>英语水平测试</w:t>
      </w:r>
      <w:r>
        <w:rPr>
          <w:rFonts w:hint="eastAsia" w:ascii="宋体" w:hAnsi="宋体" w:eastAsia="宋体"/>
          <w:sz w:val="24"/>
          <w:szCs w:val="24"/>
        </w:rPr>
        <w:t>：外国语水平未达到免试要求的要进行外语综合能力测试（闭卷考试），测试时间为60分钟。</w:t>
      </w:r>
    </w:p>
    <w:p>
      <w:pPr>
        <w:pStyle w:val="5"/>
        <w:widowControl/>
        <w:shd w:val="clear" w:color="auto" w:fill="FFFFFF"/>
        <w:spacing w:beforeAutospacing="0" w:afterAutospacing="0" w:line="360" w:lineRule="auto"/>
        <w:ind w:firstLine="480" w:firstLineChars="200"/>
        <w:jc w:val="both"/>
        <w:rPr>
          <w:rFonts w:ascii="宋体" w:hAnsi="宋体" w:eastAsia="宋体"/>
          <w:sz w:val="24"/>
          <w:szCs w:val="24"/>
        </w:rPr>
      </w:pPr>
      <w:r>
        <w:rPr>
          <w:rFonts w:hint="eastAsia" w:asciiTheme="minorEastAsia" w:hAnsiTheme="minorEastAsia" w:cstheme="minorEastAsia"/>
          <w:bCs/>
          <w:color w:val="000000" w:themeColor="text1"/>
          <w:szCs w:val="24"/>
          <w:shd w:val="clear" w:color="auto" w:fill="FFFFFF"/>
          <w14:textFill>
            <w14:solidFill>
              <w14:schemeClr w14:val="tx1"/>
            </w14:solidFill>
          </w14:textFill>
        </w:rPr>
        <w:t>初试成绩计算方式：两门业务课以百分制打分，最后计入综合成绩时以每门课成绩*50%计算汇总，即初试成绩=业务课1成绩*50%+业务课2成绩*50%；英语成绩低于合格分数线的不予录取。</w:t>
      </w:r>
    </w:p>
    <w:p>
      <w:pPr>
        <w:pStyle w:val="12"/>
        <w:numPr>
          <w:ilvl w:val="0"/>
          <w:numId w:val="2"/>
        </w:numPr>
        <w:spacing w:line="360" w:lineRule="auto"/>
        <w:ind w:firstLine="480"/>
        <w:rPr>
          <w:rFonts w:ascii="宋体" w:hAnsi="宋体" w:eastAsia="宋体"/>
          <w:sz w:val="24"/>
          <w:szCs w:val="24"/>
        </w:rPr>
      </w:pPr>
      <w:r>
        <w:rPr>
          <w:rFonts w:hint="eastAsia" w:ascii="宋体" w:hAnsi="宋体" w:eastAsia="宋体"/>
          <w:sz w:val="24"/>
          <w:szCs w:val="24"/>
        </w:rPr>
        <w:t>复试考核内容：</w:t>
      </w:r>
    </w:p>
    <w:p>
      <w:pPr>
        <w:pStyle w:val="5"/>
        <w:widowControl/>
        <w:shd w:val="clear" w:color="auto" w:fill="FFFFFF"/>
        <w:spacing w:beforeAutospacing="0" w:afterAutospacing="0" w:line="360" w:lineRule="auto"/>
        <w:ind w:firstLine="480" w:firstLineChars="200"/>
        <w:jc w:val="both"/>
        <w:rPr>
          <w:rFonts w:asciiTheme="minorEastAsia" w:hAnsiTheme="minorEastAsia" w:cstheme="minorEastAsia"/>
          <w:bCs/>
          <w:color w:val="000000" w:themeColor="text1"/>
          <w:szCs w:val="24"/>
          <w:shd w:val="clear" w:color="auto" w:fill="FFFFFF"/>
          <w14:textFill>
            <w14:solidFill>
              <w14:schemeClr w14:val="tx1"/>
            </w14:solidFill>
          </w14:textFill>
        </w:rPr>
      </w:pPr>
      <w:r>
        <w:rPr>
          <w:rFonts w:hint="eastAsia" w:ascii="宋体" w:hAnsi="宋体" w:eastAsia="宋体"/>
          <w:szCs w:val="24"/>
        </w:rPr>
        <w:t xml:space="preserve">  </w:t>
      </w:r>
      <w:r>
        <w:rPr>
          <w:rFonts w:ascii="宋体" w:hAnsi="宋体" w:eastAsia="宋体"/>
          <w:szCs w:val="24"/>
        </w:rPr>
        <w:t xml:space="preserve"> </w:t>
      </w:r>
      <w:r>
        <w:rPr>
          <w:rFonts w:hint="eastAsia" w:asciiTheme="minorEastAsia" w:hAnsiTheme="minorEastAsia" w:cstheme="minorEastAsia"/>
          <w:bCs/>
          <w:color w:val="000000" w:themeColor="text1"/>
          <w:szCs w:val="24"/>
          <w:shd w:val="clear" w:color="auto" w:fill="FFFFFF"/>
          <w14:textFill>
            <w14:solidFill>
              <w14:schemeClr w14:val="tx1"/>
            </w14:solidFill>
          </w14:textFill>
        </w:rPr>
        <w:t>复试以远程视频面试形式进行，主要考核内容包括：考生的</w:t>
      </w:r>
      <w:bookmarkStart w:id="0" w:name="_GoBack"/>
      <w:bookmarkEnd w:id="0"/>
      <w:r>
        <w:rPr>
          <w:rFonts w:hint="eastAsia" w:asciiTheme="minorEastAsia" w:hAnsiTheme="minorEastAsia" w:cstheme="minorEastAsia"/>
          <w:bCs/>
          <w:color w:val="000000" w:themeColor="text1"/>
          <w:szCs w:val="24"/>
          <w:shd w:val="clear" w:color="auto" w:fill="FFFFFF"/>
          <w14:textFill>
            <w14:solidFill>
              <w14:schemeClr w14:val="tx1"/>
            </w14:solidFill>
          </w14:textFill>
        </w:rPr>
        <w:t>创新精神和创新能力，考生理论知识和应用技能掌握程度、利用所学知识发现、分析和解决问题的能力，考生对报考专业发展动态了解以及在本专业发展潜力；考生的科研和社会工作能力、实践经历，考生的事业心、责任感、协作性和心理素质以及举止礼仪和表达能力考核等。考核以学术报告形式介绍攻读硕士学位或工作期间的研究工作和博士期间科研设想，报告时间不少于10分钟。专家就考生申请阶段提交的材料和现场所作的学术报告的相关问题进行提问，依据考生的表现情况打分。</w:t>
      </w:r>
    </w:p>
    <w:p>
      <w:pPr>
        <w:pStyle w:val="12"/>
        <w:spacing w:line="360" w:lineRule="auto"/>
        <w:ind w:firstLine="0" w:firstLineChars="0"/>
        <w:rPr>
          <w:rFonts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pPr>
      <w:r>
        <w:rPr>
          <w:rFonts w:hint="eastAsia" w:ascii="宋体" w:hAnsi="宋体" w:eastAsia="宋体"/>
          <w:sz w:val="24"/>
          <w:szCs w:val="24"/>
        </w:rPr>
        <w:t xml:space="preserve">      复试成绩计算方式：</w:t>
      </w:r>
      <w:r>
        <w:rPr>
          <w:rFonts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考核小组</w:t>
      </w:r>
      <w:r>
        <w:rPr>
          <w:rFonts w:hint="eastAsia"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专家</w:t>
      </w:r>
      <w:r>
        <w:rPr>
          <w:rFonts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对申请者进行口头提问，对申请人在理论知识、专业基础、综合素质等方面进行全面考察并</w:t>
      </w:r>
      <w:r>
        <w:rPr>
          <w:rFonts w:hint="eastAsia"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分别</w:t>
      </w:r>
      <w:r>
        <w:rPr>
          <w:rFonts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打分</w:t>
      </w:r>
      <w:r>
        <w:rPr>
          <w:rFonts w:hint="eastAsia"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（满分100），最后取平均分。</w:t>
      </w:r>
    </w:p>
    <w:p>
      <w:pPr>
        <w:spacing w:before="156" w:beforeLines="50" w:after="156" w:afterLines="50" w:line="280" w:lineRule="exact"/>
        <w:ind w:firstLine="120" w:firstLineChars="50"/>
        <w:jc w:val="left"/>
        <w:rPr>
          <w:rFonts w:ascii="黑体" w:hAnsi="宋体" w:eastAsia="黑体"/>
          <w:sz w:val="24"/>
        </w:rPr>
      </w:pP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四、录取办法：</w:t>
      </w:r>
    </w:p>
    <w:p>
      <w:pPr>
        <w:pStyle w:val="12"/>
        <w:spacing w:line="360" w:lineRule="auto"/>
        <w:ind w:firstLineChars="0"/>
        <w:rPr>
          <w:rFonts w:ascii="宋体" w:hAnsi="宋体" w:eastAsia="宋体"/>
          <w:sz w:val="24"/>
          <w:szCs w:val="24"/>
        </w:rPr>
      </w:pPr>
      <w:r>
        <w:rPr>
          <w:rFonts w:hint="eastAsia" w:ascii="宋体" w:hAnsi="宋体" w:eastAsia="宋体"/>
          <w:sz w:val="24"/>
          <w:szCs w:val="24"/>
        </w:rPr>
        <w:t>录取成绩计算方式：</w:t>
      </w:r>
    </w:p>
    <w:p>
      <w:pPr>
        <w:pStyle w:val="5"/>
        <w:widowControl/>
        <w:shd w:val="clear" w:color="auto" w:fill="FFFFFF"/>
        <w:spacing w:beforeAutospacing="0" w:afterAutospacing="0" w:line="360" w:lineRule="auto"/>
        <w:ind w:firstLine="480" w:firstLineChars="200"/>
        <w:jc w:val="both"/>
        <w:rPr>
          <w:rFonts w:asciiTheme="minorEastAsia" w:hAnsiTheme="minorEastAsia" w:cstheme="minorEastAsia"/>
          <w:bCs/>
          <w:color w:val="000000" w:themeColor="text1"/>
          <w:szCs w:val="24"/>
          <w:shd w:val="clear" w:color="auto" w:fill="FFFFFF"/>
          <w14:textFill>
            <w14:solidFill>
              <w14:schemeClr w14:val="tx1"/>
            </w14:solidFill>
          </w14:textFill>
        </w:rPr>
      </w:pPr>
      <w:r>
        <w:rPr>
          <w:rFonts w:hint="eastAsia" w:asciiTheme="minorEastAsia" w:hAnsiTheme="minorEastAsia" w:cstheme="minorEastAsia"/>
          <w:bCs/>
          <w:color w:val="000000" w:themeColor="text1"/>
          <w:szCs w:val="24"/>
          <w:shd w:val="clear" w:color="auto" w:fill="FFFFFF"/>
          <w14:textFill>
            <w14:solidFill>
              <w14:schemeClr w14:val="tx1"/>
            </w14:solidFill>
          </w14:textFill>
        </w:rPr>
        <w:t>硕博连读考生综合成绩=材料审核成绩*20%+复试成绩*80%</w:t>
      </w:r>
    </w:p>
    <w:p>
      <w:pPr>
        <w:pStyle w:val="5"/>
        <w:widowControl/>
        <w:shd w:val="clear" w:color="auto" w:fill="FFFFFF"/>
        <w:spacing w:beforeAutospacing="0" w:afterAutospacing="0" w:line="360" w:lineRule="auto"/>
        <w:ind w:firstLine="480" w:firstLineChars="200"/>
        <w:jc w:val="both"/>
        <w:rPr>
          <w:rFonts w:asciiTheme="minorEastAsia" w:hAnsiTheme="minorEastAsia" w:cstheme="minorEastAsia"/>
          <w:bCs/>
          <w:color w:val="000000" w:themeColor="text1"/>
          <w:szCs w:val="24"/>
          <w:shd w:val="clear" w:color="auto" w:fill="FFFFFF"/>
          <w14:textFill>
            <w14:solidFill>
              <w14:schemeClr w14:val="tx1"/>
            </w14:solidFill>
          </w14:textFill>
        </w:rPr>
      </w:pPr>
      <w:r>
        <w:rPr>
          <w:rFonts w:hint="eastAsia" w:asciiTheme="minorEastAsia" w:hAnsiTheme="minorEastAsia" w:cstheme="minorEastAsia"/>
          <w:bCs/>
          <w:color w:val="000000" w:themeColor="text1"/>
          <w:szCs w:val="24"/>
          <w:shd w:val="clear" w:color="auto" w:fill="FFFFFF"/>
          <w14:textFill>
            <w14:solidFill>
              <w14:schemeClr w14:val="tx1"/>
            </w14:solidFill>
          </w14:textFill>
        </w:rPr>
        <w:t>普通招考考生综合成绩=材料审核成绩*20%+初试成绩*50%+复试成绩*30%</w:t>
      </w:r>
    </w:p>
    <w:p>
      <w:pPr>
        <w:pStyle w:val="12"/>
        <w:spacing w:line="360" w:lineRule="auto"/>
        <w:ind w:firstLineChars="0"/>
        <w:rPr>
          <w:rFonts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shd w:val="clear" w:color="auto" w:fill="FFFFFF"/>
          <w14:textFill>
            <w14:solidFill>
              <w14:schemeClr w14:val="tx1"/>
            </w14:solidFill>
          </w14:textFill>
        </w:rPr>
        <w:t>学院依据考生的综合成绩排名，按照招生名额提出拟录取名单，报学校研究生招生工作领导小组审核批准。综合成绩相同的情况下，按复试成绩进行排序。</w:t>
      </w:r>
    </w:p>
    <w:p>
      <w:pPr>
        <w:spacing w:before="156" w:beforeLines="50" w:after="156" w:afterLines="50" w:line="280" w:lineRule="exact"/>
        <w:jc w:val="left"/>
        <w:rPr>
          <w:rFonts w:ascii="黑体" w:hAnsi="宋体" w:eastAsia="黑体"/>
          <w:sz w:val="28"/>
          <w:szCs w:val="28"/>
        </w:rPr>
      </w:pP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五、联系方式</w:t>
      </w:r>
    </w:p>
    <w:p>
      <w:pPr>
        <w:spacing w:line="420" w:lineRule="exact"/>
        <w:rPr>
          <w:rFonts w:ascii="楷体_GB2312" w:hAnsi="宋体" w:eastAsia="楷体_GB2312"/>
          <w:b/>
          <w:sz w:val="24"/>
        </w:rPr>
      </w:pPr>
      <w:r>
        <w:rPr>
          <w:rFonts w:hint="eastAsia" w:ascii="楷体_GB2312" w:hAnsi="宋体" w:eastAsia="楷体_GB2312"/>
          <w:b/>
          <w:sz w:val="24"/>
        </w:rPr>
        <w:t>学院联系电话：83239949，QQ群：</w:t>
      </w:r>
      <w:r>
        <w:rPr>
          <w:rFonts w:ascii="楷体_GB2312" w:hAnsi="宋体" w:eastAsia="楷体_GB2312"/>
          <w:b/>
          <w:sz w:val="24"/>
        </w:rPr>
        <w:t>1048500646</w:t>
      </w:r>
      <w:r>
        <w:rPr>
          <w:rFonts w:hint="eastAsia"/>
          <w:sz w:val="24"/>
        </w:rPr>
        <w:t xml:space="preserve"> （</w:t>
      </w:r>
      <w:r>
        <w:rPr>
          <w:rFonts w:hint="eastAsia" w:ascii="楷体_GB2312" w:hAnsi="宋体" w:eastAsia="楷体_GB2312"/>
          <w:b/>
          <w:sz w:val="24"/>
        </w:rPr>
        <w:t>2020年南京工业大学安全学院博士招考），招生邮箱：</w:t>
      </w:r>
      <w:r>
        <w:rPr>
          <w:rFonts w:hint="eastAsia" w:ascii="宋体" w:hAnsi="宋体" w:cs="宋体"/>
          <w:color w:val="000000"/>
          <w:sz w:val="24"/>
          <w:lang w:bidi="ar"/>
        </w:rPr>
        <w:t>safe001_njtech@163.com</w:t>
      </w:r>
    </w:p>
    <w:p>
      <w:pPr>
        <w:spacing w:before="156" w:beforeLines="50" w:after="156" w:afterLines="50" w:line="280" w:lineRule="exact"/>
        <w:ind w:firstLine="140" w:firstLineChars="50"/>
        <w:jc w:val="left"/>
        <w:rPr>
          <w:rFonts w:ascii="黑体" w:hAnsi="宋体" w:eastAsia="黑体"/>
          <w:sz w:val="28"/>
          <w:szCs w:val="28"/>
        </w:rPr>
      </w:pPr>
    </w:p>
    <w:sectPr>
      <w:headerReference r:id="rId3" w:type="default"/>
      <w:footerReference r:id="rId4" w:type="default"/>
      <w:pgSz w:w="11906" w:h="16838"/>
      <w:pgMar w:top="1304" w:right="1134" w:bottom="1134"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F26B"/>
    <w:multiLevelType w:val="singleLevel"/>
    <w:tmpl w:val="A28EF26B"/>
    <w:lvl w:ilvl="0" w:tentative="0">
      <w:start w:val="1"/>
      <w:numFmt w:val="chineseCounting"/>
      <w:suff w:val="nothing"/>
      <w:lvlText w:val="%1、"/>
      <w:lvlJc w:val="left"/>
      <w:rPr>
        <w:rFonts w:hint="eastAsia"/>
      </w:rPr>
    </w:lvl>
  </w:abstractNum>
  <w:abstractNum w:abstractNumId="1">
    <w:nsid w:val="0F7B2FDA"/>
    <w:multiLevelType w:val="singleLevel"/>
    <w:tmpl w:val="0F7B2FD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78"/>
    <w:rsid w:val="00000CCF"/>
    <w:rsid w:val="00003DA4"/>
    <w:rsid w:val="000137A5"/>
    <w:rsid w:val="00014FD0"/>
    <w:rsid w:val="00027B3F"/>
    <w:rsid w:val="00027CE2"/>
    <w:rsid w:val="00031440"/>
    <w:rsid w:val="00032AFB"/>
    <w:rsid w:val="00050BC0"/>
    <w:rsid w:val="0006076C"/>
    <w:rsid w:val="00063E73"/>
    <w:rsid w:val="000660F5"/>
    <w:rsid w:val="00067192"/>
    <w:rsid w:val="0006731E"/>
    <w:rsid w:val="00071B52"/>
    <w:rsid w:val="00072877"/>
    <w:rsid w:val="00083900"/>
    <w:rsid w:val="00084C1C"/>
    <w:rsid w:val="00085B0B"/>
    <w:rsid w:val="00096591"/>
    <w:rsid w:val="00097CF2"/>
    <w:rsid w:val="000A142C"/>
    <w:rsid w:val="000A7A96"/>
    <w:rsid w:val="000B0353"/>
    <w:rsid w:val="000B129B"/>
    <w:rsid w:val="000B2442"/>
    <w:rsid w:val="000B4A90"/>
    <w:rsid w:val="000B7B34"/>
    <w:rsid w:val="000C03E7"/>
    <w:rsid w:val="000C2F51"/>
    <w:rsid w:val="000C40CE"/>
    <w:rsid w:val="000D09E6"/>
    <w:rsid w:val="000D6530"/>
    <w:rsid w:val="000E3551"/>
    <w:rsid w:val="000E3BD9"/>
    <w:rsid w:val="000E5541"/>
    <w:rsid w:val="000E7D48"/>
    <w:rsid w:val="00103AAF"/>
    <w:rsid w:val="001055AD"/>
    <w:rsid w:val="0010743B"/>
    <w:rsid w:val="00110A15"/>
    <w:rsid w:val="00117FAE"/>
    <w:rsid w:val="00122BB7"/>
    <w:rsid w:val="00125A35"/>
    <w:rsid w:val="00127871"/>
    <w:rsid w:val="00130AF0"/>
    <w:rsid w:val="001442E5"/>
    <w:rsid w:val="00154F65"/>
    <w:rsid w:val="00157D7C"/>
    <w:rsid w:val="00163CEF"/>
    <w:rsid w:val="00180A5A"/>
    <w:rsid w:val="00184EB6"/>
    <w:rsid w:val="001858B2"/>
    <w:rsid w:val="001876F2"/>
    <w:rsid w:val="00187BA2"/>
    <w:rsid w:val="0019409C"/>
    <w:rsid w:val="00194F10"/>
    <w:rsid w:val="00197B39"/>
    <w:rsid w:val="001A1916"/>
    <w:rsid w:val="001A227F"/>
    <w:rsid w:val="001A4891"/>
    <w:rsid w:val="001A7642"/>
    <w:rsid w:val="001A7859"/>
    <w:rsid w:val="001B2123"/>
    <w:rsid w:val="001C5CE4"/>
    <w:rsid w:val="001C6303"/>
    <w:rsid w:val="001C77F6"/>
    <w:rsid w:val="001C7BDF"/>
    <w:rsid w:val="001D7CFC"/>
    <w:rsid w:val="001E1862"/>
    <w:rsid w:val="001F3063"/>
    <w:rsid w:val="001F3A69"/>
    <w:rsid w:val="001F3E96"/>
    <w:rsid w:val="002070CC"/>
    <w:rsid w:val="00212AA7"/>
    <w:rsid w:val="0022141C"/>
    <w:rsid w:val="002217F5"/>
    <w:rsid w:val="00224BCD"/>
    <w:rsid w:val="00226B16"/>
    <w:rsid w:val="002403E1"/>
    <w:rsid w:val="0024242E"/>
    <w:rsid w:val="00242B20"/>
    <w:rsid w:val="002502DD"/>
    <w:rsid w:val="00251B19"/>
    <w:rsid w:val="00254F1F"/>
    <w:rsid w:val="002610D8"/>
    <w:rsid w:val="002613FA"/>
    <w:rsid w:val="00263763"/>
    <w:rsid w:val="002717A4"/>
    <w:rsid w:val="00282299"/>
    <w:rsid w:val="00284CE3"/>
    <w:rsid w:val="0028799A"/>
    <w:rsid w:val="002962F0"/>
    <w:rsid w:val="002A2B7C"/>
    <w:rsid w:val="002A31EC"/>
    <w:rsid w:val="002A40B5"/>
    <w:rsid w:val="002A7010"/>
    <w:rsid w:val="002B052F"/>
    <w:rsid w:val="002B218A"/>
    <w:rsid w:val="002B2F97"/>
    <w:rsid w:val="002B44A5"/>
    <w:rsid w:val="002B4918"/>
    <w:rsid w:val="002B57DB"/>
    <w:rsid w:val="002D2E7A"/>
    <w:rsid w:val="002D5EF6"/>
    <w:rsid w:val="002E472B"/>
    <w:rsid w:val="002E73D1"/>
    <w:rsid w:val="002E7AAB"/>
    <w:rsid w:val="002F029B"/>
    <w:rsid w:val="002F2040"/>
    <w:rsid w:val="002F2ABE"/>
    <w:rsid w:val="00301C9C"/>
    <w:rsid w:val="00304577"/>
    <w:rsid w:val="00306F24"/>
    <w:rsid w:val="00307EC4"/>
    <w:rsid w:val="003138C9"/>
    <w:rsid w:val="00316274"/>
    <w:rsid w:val="003238FD"/>
    <w:rsid w:val="00324B9B"/>
    <w:rsid w:val="0032591D"/>
    <w:rsid w:val="00325D82"/>
    <w:rsid w:val="00326357"/>
    <w:rsid w:val="00327A24"/>
    <w:rsid w:val="00327B77"/>
    <w:rsid w:val="00331443"/>
    <w:rsid w:val="00332E21"/>
    <w:rsid w:val="00342FB0"/>
    <w:rsid w:val="00343749"/>
    <w:rsid w:val="00350430"/>
    <w:rsid w:val="00351BB3"/>
    <w:rsid w:val="0035608E"/>
    <w:rsid w:val="00361A8A"/>
    <w:rsid w:val="00362298"/>
    <w:rsid w:val="003662D4"/>
    <w:rsid w:val="00366B31"/>
    <w:rsid w:val="00367CA3"/>
    <w:rsid w:val="00370D43"/>
    <w:rsid w:val="00376E72"/>
    <w:rsid w:val="00390507"/>
    <w:rsid w:val="00395A86"/>
    <w:rsid w:val="00395FE1"/>
    <w:rsid w:val="003A2285"/>
    <w:rsid w:val="003A5042"/>
    <w:rsid w:val="003B0D6C"/>
    <w:rsid w:val="003C0405"/>
    <w:rsid w:val="003C15E4"/>
    <w:rsid w:val="003C3405"/>
    <w:rsid w:val="003D46F9"/>
    <w:rsid w:val="003D62CB"/>
    <w:rsid w:val="003D74BB"/>
    <w:rsid w:val="003D7590"/>
    <w:rsid w:val="003D7C29"/>
    <w:rsid w:val="003E45DA"/>
    <w:rsid w:val="003F2B7E"/>
    <w:rsid w:val="00400EFF"/>
    <w:rsid w:val="00407C74"/>
    <w:rsid w:val="00423CAC"/>
    <w:rsid w:val="004343E5"/>
    <w:rsid w:val="004345DC"/>
    <w:rsid w:val="00435999"/>
    <w:rsid w:val="00437C0D"/>
    <w:rsid w:val="004435A9"/>
    <w:rsid w:val="00446508"/>
    <w:rsid w:val="00452B9B"/>
    <w:rsid w:val="00457C4D"/>
    <w:rsid w:val="00461296"/>
    <w:rsid w:val="00462CBC"/>
    <w:rsid w:val="00462FE9"/>
    <w:rsid w:val="00472B13"/>
    <w:rsid w:val="004862F5"/>
    <w:rsid w:val="00494056"/>
    <w:rsid w:val="00496266"/>
    <w:rsid w:val="0049786A"/>
    <w:rsid w:val="004A0BAD"/>
    <w:rsid w:val="004A3936"/>
    <w:rsid w:val="004A610B"/>
    <w:rsid w:val="004B032B"/>
    <w:rsid w:val="004B3DC3"/>
    <w:rsid w:val="004B6166"/>
    <w:rsid w:val="004C3E8A"/>
    <w:rsid w:val="004D005F"/>
    <w:rsid w:val="004D4A8A"/>
    <w:rsid w:val="004D4BB3"/>
    <w:rsid w:val="004E07D3"/>
    <w:rsid w:val="004E5A3F"/>
    <w:rsid w:val="004E7E17"/>
    <w:rsid w:val="004F6690"/>
    <w:rsid w:val="004F70D9"/>
    <w:rsid w:val="004F7B20"/>
    <w:rsid w:val="00504D7C"/>
    <w:rsid w:val="0050613E"/>
    <w:rsid w:val="00511974"/>
    <w:rsid w:val="00513195"/>
    <w:rsid w:val="0051522E"/>
    <w:rsid w:val="00515E61"/>
    <w:rsid w:val="00516653"/>
    <w:rsid w:val="0052346C"/>
    <w:rsid w:val="00525AEA"/>
    <w:rsid w:val="005407C4"/>
    <w:rsid w:val="00541FC7"/>
    <w:rsid w:val="00553430"/>
    <w:rsid w:val="00553D98"/>
    <w:rsid w:val="0055494F"/>
    <w:rsid w:val="005604C3"/>
    <w:rsid w:val="00562138"/>
    <w:rsid w:val="0056222E"/>
    <w:rsid w:val="005676D5"/>
    <w:rsid w:val="005824C4"/>
    <w:rsid w:val="005828BE"/>
    <w:rsid w:val="005931DD"/>
    <w:rsid w:val="005A04BC"/>
    <w:rsid w:val="005B20E6"/>
    <w:rsid w:val="005B46B3"/>
    <w:rsid w:val="005B5510"/>
    <w:rsid w:val="005B664D"/>
    <w:rsid w:val="005B780A"/>
    <w:rsid w:val="005C55FB"/>
    <w:rsid w:val="005D1B76"/>
    <w:rsid w:val="005D42A2"/>
    <w:rsid w:val="005E55FD"/>
    <w:rsid w:val="005E5C2E"/>
    <w:rsid w:val="005E7351"/>
    <w:rsid w:val="005E751A"/>
    <w:rsid w:val="005F41F2"/>
    <w:rsid w:val="005F516C"/>
    <w:rsid w:val="005F5A2D"/>
    <w:rsid w:val="005F5A33"/>
    <w:rsid w:val="0060191A"/>
    <w:rsid w:val="006066F3"/>
    <w:rsid w:val="006103CD"/>
    <w:rsid w:val="00610F98"/>
    <w:rsid w:val="006129AD"/>
    <w:rsid w:val="00613B83"/>
    <w:rsid w:val="00615EBB"/>
    <w:rsid w:val="00616042"/>
    <w:rsid w:val="0062143F"/>
    <w:rsid w:val="00621E2D"/>
    <w:rsid w:val="00630108"/>
    <w:rsid w:val="0063571B"/>
    <w:rsid w:val="0064045F"/>
    <w:rsid w:val="00641E21"/>
    <w:rsid w:val="0064492F"/>
    <w:rsid w:val="00644CF6"/>
    <w:rsid w:val="00646BC0"/>
    <w:rsid w:val="00650331"/>
    <w:rsid w:val="00650461"/>
    <w:rsid w:val="006523D8"/>
    <w:rsid w:val="00652493"/>
    <w:rsid w:val="00653A36"/>
    <w:rsid w:val="00654795"/>
    <w:rsid w:val="00662D68"/>
    <w:rsid w:val="006630B6"/>
    <w:rsid w:val="00663D94"/>
    <w:rsid w:val="00666F61"/>
    <w:rsid w:val="00671A8D"/>
    <w:rsid w:val="006771CB"/>
    <w:rsid w:val="006801DF"/>
    <w:rsid w:val="00680349"/>
    <w:rsid w:val="00680CD8"/>
    <w:rsid w:val="006824B6"/>
    <w:rsid w:val="006843F2"/>
    <w:rsid w:val="006855E1"/>
    <w:rsid w:val="00686134"/>
    <w:rsid w:val="006939D7"/>
    <w:rsid w:val="00696688"/>
    <w:rsid w:val="006A0235"/>
    <w:rsid w:val="006A6AF3"/>
    <w:rsid w:val="006A71DF"/>
    <w:rsid w:val="006A7AA6"/>
    <w:rsid w:val="006B176B"/>
    <w:rsid w:val="006B241E"/>
    <w:rsid w:val="006B2556"/>
    <w:rsid w:val="006C54AC"/>
    <w:rsid w:val="006D0421"/>
    <w:rsid w:val="006D04E0"/>
    <w:rsid w:val="006D40DD"/>
    <w:rsid w:val="006D48AE"/>
    <w:rsid w:val="006E4878"/>
    <w:rsid w:val="006F4345"/>
    <w:rsid w:val="006F751B"/>
    <w:rsid w:val="007009D0"/>
    <w:rsid w:val="007040A9"/>
    <w:rsid w:val="00724EEA"/>
    <w:rsid w:val="00727F51"/>
    <w:rsid w:val="00733F59"/>
    <w:rsid w:val="007347C4"/>
    <w:rsid w:val="00735477"/>
    <w:rsid w:val="00737B3A"/>
    <w:rsid w:val="00737DFE"/>
    <w:rsid w:val="007413E2"/>
    <w:rsid w:val="007418A7"/>
    <w:rsid w:val="007453DE"/>
    <w:rsid w:val="007465BD"/>
    <w:rsid w:val="00747D52"/>
    <w:rsid w:val="00754E42"/>
    <w:rsid w:val="00755662"/>
    <w:rsid w:val="007569A5"/>
    <w:rsid w:val="00760970"/>
    <w:rsid w:val="00761BE4"/>
    <w:rsid w:val="00763CBC"/>
    <w:rsid w:val="00764E4A"/>
    <w:rsid w:val="00766BD6"/>
    <w:rsid w:val="0077768F"/>
    <w:rsid w:val="00782FB9"/>
    <w:rsid w:val="00785ECB"/>
    <w:rsid w:val="00787BDD"/>
    <w:rsid w:val="007913DB"/>
    <w:rsid w:val="007952E1"/>
    <w:rsid w:val="00795EDA"/>
    <w:rsid w:val="007B6A3E"/>
    <w:rsid w:val="007C000B"/>
    <w:rsid w:val="007D102C"/>
    <w:rsid w:val="007D3BC8"/>
    <w:rsid w:val="007E0291"/>
    <w:rsid w:val="007E0904"/>
    <w:rsid w:val="007E12D0"/>
    <w:rsid w:val="007E3BE3"/>
    <w:rsid w:val="007E5EB9"/>
    <w:rsid w:val="007E5F3C"/>
    <w:rsid w:val="007E6735"/>
    <w:rsid w:val="007F31F4"/>
    <w:rsid w:val="007F5293"/>
    <w:rsid w:val="007F56F0"/>
    <w:rsid w:val="00800462"/>
    <w:rsid w:val="0080288A"/>
    <w:rsid w:val="00804F33"/>
    <w:rsid w:val="00812F38"/>
    <w:rsid w:val="00821DB0"/>
    <w:rsid w:val="00823BEB"/>
    <w:rsid w:val="00830E81"/>
    <w:rsid w:val="0083125D"/>
    <w:rsid w:val="00836D5D"/>
    <w:rsid w:val="008379D7"/>
    <w:rsid w:val="00841BCF"/>
    <w:rsid w:val="00846CA3"/>
    <w:rsid w:val="0085166C"/>
    <w:rsid w:val="0085332A"/>
    <w:rsid w:val="00854897"/>
    <w:rsid w:val="0086099F"/>
    <w:rsid w:val="00862AE0"/>
    <w:rsid w:val="0087528B"/>
    <w:rsid w:val="00881050"/>
    <w:rsid w:val="00881EE9"/>
    <w:rsid w:val="008861A1"/>
    <w:rsid w:val="0088715B"/>
    <w:rsid w:val="0089188A"/>
    <w:rsid w:val="00892CA8"/>
    <w:rsid w:val="00897D70"/>
    <w:rsid w:val="008A0414"/>
    <w:rsid w:val="008A08E5"/>
    <w:rsid w:val="008A2B74"/>
    <w:rsid w:val="008A311E"/>
    <w:rsid w:val="008C0683"/>
    <w:rsid w:val="008C1D54"/>
    <w:rsid w:val="008C6230"/>
    <w:rsid w:val="008C714F"/>
    <w:rsid w:val="008D01FF"/>
    <w:rsid w:val="008D0E1F"/>
    <w:rsid w:val="008D10EE"/>
    <w:rsid w:val="008D27B7"/>
    <w:rsid w:val="008E1A79"/>
    <w:rsid w:val="008E3F70"/>
    <w:rsid w:val="008E4812"/>
    <w:rsid w:val="008E4A7C"/>
    <w:rsid w:val="00901026"/>
    <w:rsid w:val="00901D68"/>
    <w:rsid w:val="00902914"/>
    <w:rsid w:val="0090453C"/>
    <w:rsid w:val="0092310B"/>
    <w:rsid w:val="009253AA"/>
    <w:rsid w:val="009315E5"/>
    <w:rsid w:val="00933CA7"/>
    <w:rsid w:val="0093468A"/>
    <w:rsid w:val="009350A6"/>
    <w:rsid w:val="0094180C"/>
    <w:rsid w:val="00950E4A"/>
    <w:rsid w:val="00951E7D"/>
    <w:rsid w:val="00955B00"/>
    <w:rsid w:val="00955B35"/>
    <w:rsid w:val="00956E9E"/>
    <w:rsid w:val="00960354"/>
    <w:rsid w:val="0096256C"/>
    <w:rsid w:val="00965502"/>
    <w:rsid w:val="00965F46"/>
    <w:rsid w:val="00967098"/>
    <w:rsid w:val="009705D8"/>
    <w:rsid w:val="00971547"/>
    <w:rsid w:val="009746FB"/>
    <w:rsid w:val="00974C60"/>
    <w:rsid w:val="0097691D"/>
    <w:rsid w:val="00983767"/>
    <w:rsid w:val="00984342"/>
    <w:rsid w:val="00984B8F"/>
    <w:rsid w:val="009963FC"/>
    <w:rsid w:val="009A3F22"/>
    <w:rsid w:val="009A7C8C"/>
    <w:rsid w:val="009A7E33"/>
    <w:rsid w:val="009C04B5"/>
    <w:rsid w:val="009C17F5"/>
    <w:rsid w:val="009C1E9A"/>
    <w:rsid w:val="009D49AB"/>
    <w:rsid w:val="009D7F99"/>
    <w:rsid w:val="009E4ED7"/>
    <w:rsid w:val="009F3471"/>
    <w:rsid w:val="009F6925"/>
    <w:rsid w:val="009F7E71"/>
    <w:rsid w:val="00A03D8A"/>
    <w:rsid w:val="00A10405"/>
    <w:rsid w:val="00A108B7"/>
    <w:rsid w:val="00A10FDB"/>
    <w:rsid w:val="00A213F2"/>
    <w:rsid w:val="00A23409"/>
    <w:rsid w:val="00A248F1"/>
    <w:rsid w:val="00A24E94"/>
    <w:rsid w:val="00A25FBF"/>
    <w:rsid w:val="00A3235A"/>
    <w:rsid w:val="00A4250B"/>
    <w:rsid w:val="00A429B2"/>
    <w:rsid w:val="00A441A7"/>
    <w:rsid w:val="00A51AA9"/>
    <w:rsid w:val="00A57E36"/>
    <w:rsid w:val="00A57E82"/>
    <w:rsid w:val="00A65E10"/>
    <w:rsid w:val="00A85F31"/>
    <w:rsid w:val="00A9243E"/>
    <w:rsid w:val="00A93B78"/>
    <w:rsid w:val="00A954DA"/>
    <w:rsid w:val="00A9790C"/>
    <w:rsid w:val="00AA35B9"/>
    <w:rsid w:val="00AB57FB"/>
    <w:rsid w:val="00AB64C3"/>
    <w:rsid w:val="00AB6FAF"/>
    <w:rsid w:val="00AC00D8"/>
    <w:rsid w:val="00AE0154"/>
    <w:rsid w:val="00AE7ADA"/>
    <w:rsid w:val="00AF2C37"/>
    <w:rsid w:val="00AF43AB"/>
    <w:rsid w:val="00AF53B6"/>
    <w:rsid w:val="00B0020E"/>
    <w:rsid w:val="00B033A8"/>
    <w:rsid w:val="00B03F91"/>
    <w:rsid w:val="00B04F87"/>
    <w:rsid w:val="00B166D6"/>
    <w:rsid w:val="00B220BE"/>
    <w:rsid w:val="00B3110F"/>
    <w:rsid w:val="00B34084"/>
    <w:rsid w:val="00B34407"/>
    <w:rsid w:val="00B45ABA"/>
    <w:rsid w:val="00B4640F"/>
    <w:rsid w:val="00B50D33"/>
    <w:rsid w:val="00B526AE"/>
    <w:rsid w:val="00B5475E"/>
    <w:rsid w:val="00B56EF8"/>
    <w:rsid w:val="00B63C30"/>
    <w:rsid w:val="00B75488"/>
    <w:rsid w:val="00B7713D"/>
    <w:rsid w:val="00B821B5"/>
    <w:rsid w:val="00B82966"/>
    <w:rsid w:val="00B84452"/>
    <w:rsid w:val="00B84988"/>
    <w:rsid w:val="00B87C11"/>
    <w:rsid w:val="00B912FC"/>
    <w:rsid w:val="00B92894"/>
    <w:rsid w:val="00B92B2A"/>
    <w:rsid w:val="00B95B7A"/>
    <w:rsid w:val="00B970D3"/>
    <w:rsid w:val="00BA049B"/>
    <w:rsid w:val="00BA45CB"/>
    <w:rsid w:val="00BB1F06"/>
    <w:rsid w:val="00BC07FA"/>
    <w:rsid w:val="00BC631D"/>
    <w:rsid w:val="00BC761E"/>
    <w:rsid w:val="00BD26DE"/>
    <w:rsid w:val="00BD3C33"/>
    <w:rsid w:val="00BD4395"/>
    <w:rsid w:val="00BE0724"/>
    <w:rsid w:val="00BE1392"/>
    <w:rsid w:val="00BE5F30"/>
    <w:rsid w:val="00BE7A05"/>
    <w:rsid w:val="00BF38D7"/>
    <w:rsid w:val="00BF4C6A"/>
    <w:rsid w:val="00BF4FE5"/>
    <w:rsid w:val="00C02145"/>
    <w:rsid w:val="00C034F5"/>
    <w:rsid w:val="00C03D6E"/>
    <w:rsid w:val="00C05571"/>
    <w:rsid w:val="00C17657"/>
    <w:rsid w:val="00C31CA7"/>
    <w:rsid w:val="00C329CC"/>
    <w:rsid w:val="00C32F28"/>
    <w:rsid w:val="00C366E9"/>
    <w:rsid w:val="00C410D5"/>
    <w:rsid w:val="00C41B5D"/>
    <w:rsid w:val="00C42B5B"/>
    <w:rsid w:val="00C44FCC"/>
    <w:rsid w:val="00C562CD"/>
    <w:rsid w:val="00C57307"/>
    <w:rsid w:val="00C608B7"/>
    <w:rsid w:val="00C67ADD"/>
    <w:rsid w:val="00C701AE"/>
    <w:rsid w:val="00C70D96"/>
    <w:rsid w:val="00C7464E"/>
    <w:rsid w:val="00C7478C"/>
    <w:rsid w:val="00C75D5B"/>
    <w:rsid w:val="00C76E21"/>
    <w:rsid w:val="00C77113"/>
    <w:rsid w:val="00C778C5"/>
    <w:rsid w:val="00C8792A"/>
    <w:rsid w:val="00C951BA"/>
    <w:rsid w:val="00CA0F07"/>
    <w:rsid w:val="00CA5541"/>
    <w:rsid w:val="00CA78F0"/>
    <w:rsid w:val="00CB1AB8"/>
    <w:rsid w:val="00CC2716"/>
    <w:rsid w:val="00CC55C9"/>
    <w:rsid w:val="00CD0883"/>
    <w:rsid w:val="00CD20FC"/>
    <w:rsid w:val="00CD485B"/>
    <w:rsid w:val="00CD49FC"/>
    <w:rsid w:val="00CD4EDB"/>
    <w:rsid w:val="00CD6B2D"/>
    <w:rsid w:val="00CD78CD"/>
    <w:rsid w:val="00CE157F"/>
    <w:rsid w:val="00CF018C"/>
    <w:rsid w:val="00D003E9"/>
    <w:rsid w:val="00D00A2B"/>
    <w:rsid w:val="00D12AC5"/>
    <w:rsid w:val="00D16C8B"/>
    <w:rsid w:val="00D16D40"/>
    <w:rsid w:val="00D229C6"/>
    <w:rsid w:val="00D24AFE"/>
    <w:rsid w:val="00D2629B"/>
    <w:rsid w:val="00D27CBC"/>
    <w:rsid w:val="00D306D5"/>
    <w:rsid w:val="00D3121F"/>
    <w:rsid w:val="00D332EB"/>
    <w:rsid w:val="00D34235"/>
    <w:rsid w:val="00D35C30"/>
    <w:rsid w:val="00D365F5"/>
    <w:rsid w:val="00D43F3A"/>
    <w:rsid w:val="00D46380"/>
    <w:rsid w:val="00D501F8"/>
    <w:rsid w:val="00D5158E"/>
    <w:rsid w:val="00D55404"/>
    <w:rsid w:val="00D55817"/>
    <w:rsid w:val="00D568E5"/>
    <w:rsid w:val="00D62475"/>
    <w:rsid w:val="00D62804"/>
    <w:rsid w:val="00D774F3"/>
    <w:rsid w:val="00D81DA6"/>
    <w:rsid w:val="00D841D6"/>
    <w:rsid w:val="00D86B02"/>
    <w:rsid w:val="00D86E79"/>
    <w:rsid w:val="00D906D6"/>
    <w:rsid w:val="00D92DD9"/>
    <w:rsid w:val="00DA0DA9"/>
    <w:rsid w:val="00DA6688"/>
    <w:rsid w:val="00DB0861"/>
    <w:rsid w:val="00DB14FA"/>
    <w:rsid w:val="00DC0C73"/>
    <w:rsid w:val="00DC2D9A"/>
    <w:rsid w:val="00DD438C"/>
    <w:rsid w:val="00DD54E0"/>
    <w:rsid w:val="00DF2EC4"/>
    <w:rsid w:val="00DF75F8"/>
    <w:rsid w:val="00E01BA2"/>
    <w:rsid w:val="00E040D2"/>
    <w:rsid w:val="00E10751"/>
    <w:rsid w:val="00E144F0"/>
    <w:rsid w:val="00E14E8A"/>
    <w:rsid w:val="00E15203"/>
    <w:rsid w:val="00E1759A"/>
    <w:rsid w:val="00E231B4"/>
    <w:rsid w:val="00E24401"/>
    <w:rsid w:val="00E267EF"/>
    <w:rsid w:val="00E32C5D"/>
    <w:rsid w:val="00E44345"/>
    <w:rsid w:val="00E5230C"/>
    <w:rsid w:val="00E526BB"/>
    <w:rsid w:val="00E53817"/>
    <w:rsid w:val="00E53B0A"/>
    <w:rsid w:val="00E545AA"/>
    <w:rsid w:val="00E551FE"/>
    <w:rsid w:val="00E558E6"/>
    <w:rsid w:val="00E56D29"/>
    <w:rsid w:val="00E64C16"/>
    <w:rsid w:val="00E840EF"/>
    <w:rsid w:val="00E84701"/>
    <w:rsid w:val="00E86100"/>
    <w:rsid w:val="00E90027"/>
    <w:rsid w:val="00E92EA3"/>
    <w:rsid w:val="00E96502"/>
    <w:rsid w:val="00EA10FD"/>
    <w:rsid w:val="00EA3499"/>
    <w:rsid w:val="00EA3903"/>
    <w:rsid w:val="00EA48B4"/>
    <w:rsid w:val="00EA7198"/>
    <w:rsid w:val="00EB2129"/>
    <w:rsid w:val="00EB2E66"/>
    <w:rsid w:val="00EB300C"/>
    <w:rsid w:val="00EB3668"/>
    <w:rsid w:val="00EB3E7B"/>
    <w:rsid w:val="00EB63D0"/>
    <w:rsid w:val="00EB6830"/>
    <w:rsid w:val="00EC0042"/>
    <w:rsid w:val="00EC4535"/>
    <w:rsid w:val="00EC4BAF"/>
    <w:rsid w:val="00ED19C6"/>
    <w:rsid w:val="00ED350F"/>
    <w:rsid w:val="00ED57BB"/>
    <w:rsid w:val="00ED7450"/>
    <w:rsid w:val="00ED7879"/>
    <w:rsid w:val="00EE079C"/>
    <w:rsid w:val="00EE1A2A"/>
    <w:rsid w:val="00EE236C"/>
    <w:rsid w:val="00EE508D"/>
    <w:rsid w:val="00EE7865"/>
    <w:rsid w:val="00EF1D38"/>
    <w:rsid w:val="00EF365E"/>
    <w:rsid w:val="00EF453D"/>
    <w:rsid w:val="00EF4EC2"/>
    <w:rsid w:val="00EF7A43"/>
    <w:rsid w:val="00F05AA7"/>
    <w:rsid w:val="00F06106"/>
    <w:rsid w:val="00F07794"/>
    <w:rsid w:val="00F07A24"/>
    <w:rsid w:val="00F10670"/>
    <w:rsid w:val="00F14C92"/>
    <w:rsid w:val="00F2043A"/>
    <w:rsid w:val="00F2062D"/>
    <w:rsid w:val="00F2485E"/>
    <w:rsid w:val="00F268C5"/>
    <w:rsid w:val="00F32347"/>
    <w:rsid w:val="00F35684"/>
    <w:rsid w:val="00F35C2E"/>
    <w:rsid w:val="00F37CB3"/>
    <w:rsid w:val="00F44B3B"/>
    <w:rsid w:val="00F46083"/>
    <w:rsid w:val="00F52BE5"/>
    <w:rsid w:val="00F539AB"/>
    <w:rsid w:val="00F6494B"/>
    <w:rsid w:val="00F66C11"/>
    <w:rsid w:val="00F723BA"/>
    <w:rsid w:val="00F7442A"/>
    <w:rsid w:val="00F76438"/>
    <w:rsid w:val="00F81310"/>
    <w:rsid w:val="00F91E63"/>
    <w:rsid w:val="00F92653"/>
    <w:rsid w:val="00F929F9"/>
    <w:rsid w:val="00FA3249"/>
    <w:rsid w:val="00FA70F6"/>
    <w:rsid w:val="00FB0D32"/>
    <w:rsid w:val="00FB40FC"/>
    <w:rsid w:val="00FB5444"/>
    <w:rsid w:val="00FB7F74"/>
    <w:rsid w:val="00FC7187"/>
    <w:rsid w:val="00FD37C1"/>
    <w:rsid w:val="00FD71AA"/>
    <w:rsid w:val="00FD7427"/>
    <w:rsid w:val="00FE1B7A"/>
    <w:rsid w:val="00FE4990"/>
    <w:rsid w:val="00FF0405"/>
    <w:rsid w:val="00FF33D7"/>
    <w:rsid w:val="00FF48B6"/>
    <w:rsid w:val="00FF6492"/>
    <w:rsid w:val="00FF6BE9"/>
    <w:rsid w:val="338B5AF2"/>
    <w:rsid w:val="60175D20"/>
    <w:rsid w:val="69A9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Hyperlink"/>
    <w:qFormat/>
    <w:uiPriority w:val="0"/>
    <w:rPr>
      <w:color w:val="0000FF"/>
      <w:u w:val="single"/>
    </w:rPr>
  </w:style>
  <w:style w:type="paragraph" w:customStyle="1" w:styleId="11">
    <w:name w:val="Char Char Char Char Char Char Char"/>
    <w:basedOn w:val="1"/>
    <w:qFormat/>
    <w:uiPriority w:val="0"/>
    <w:rPr>
      <w:rFonts w:ascii="Tahoma" w:hAnsi="Tahoma"/>
      <w:sz w:val="24"/>
      <w:szCs w:val="20"/>
    </w:rPr>
  </w:style>
  <w:style w:type="paragraph" w:styleId="12">
    <w:name w:val="List Paragraph"/>
    <w:basedOn w:val="1"/>
    <w:qFormat/>
    <w:uiPriority w:val="34"/>
    <w:pPr>
      <w:ind w:firstLine="420" w:firstLineChars="200"/>
    </w:pPr>
    <w:rPr>
      <w:rFonts w:ascii="等线" w:hAnsi="等线" w:eastAsia="等线"/>
      <w:szCs w:val="22"/>
    </w:rPr>
  </w:style>
  <w:style w:type="paragraph" w:customStyle="1" w:styleId="13">
    <w:name w:val="Char Char Char Char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1910</Words>
  <Characters>292</Characters>
  <Lines>2</Lines>
  <Paragraphs>4</Paragraphs>
  <TotalTime>37</TotalTime>
  <ScaleCrop>false</ScaleCrop>
  <LinksUpToDate>false</LinksUpToDate>
  <CharactersWithSpaces>2198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2020-05-28T08:25:00Z</dcterms:created>
  <dc:creator>微软用户</dc:creator>
  <cp:lastModifiedBy>好一朵</cp:lastModifiedBy>
  <cp:lastPrinted>2020-05-09T08:03:00Z</cp:lastPrinted>
  <dcterms:modified xsi:type="dcterms:W3CDTF">2020-06-05T08:11:56Z</dcterms:modified>
  <dc:title>机械与动力工程学院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