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horzAnchor="margin" w:tblpY="853"/>
        <w:tblW w:w="0" w:type="auto"/>
        <w:tblCellMar>
          <w:left w:w="0" w:type="dxa"/>
          <w:right w:w="0" w:type="dxa"/>
        </w:tblCellMar>
        <w:tblLook w:val="04A0" w:firstRow="1" w:lastRow="0" w:firstColumn="1" w:lastColumn="0" w:noHBand="0" w:noVBand="1"/>
      </w:tblPr>
      <w:tblGrid>
        <w:gridCol w:w="1880"/>
        <w:gridCol w:w="6396"/>
      </w:tblGrid>
      <w:tr w:rsidR="004768A5" w14:paraId="1FBED49F" w14:textId="77777777" w:rsidTr="001D117E">
        <w:trPr>
          <w:cantSplit/>
          <w:trHeight w:val="432"/>
        </w:trPr>
        <w:tc>
          <w:tcPr>
            <w:tcW w:w="1880" w:type="dxa"/>
            <w:tcBorders>
              <w:top w:val="single" w:sz="12" w:space="0" w:color="auto"/>
              <w:left w:val="single" w:sz="12" w:space="0" w:color="auto"/>
              <w:bottom w:val="single" w:sz="8" w:space="0" w:color="auto"/>
              <w:right w:val="single" w:sz="8" w:space="0" w:color="auto"/>
            </w:tcBorders>
            <w:tcMar>
              <w:top w:w="0" w:type="dxa"/>
              <w:left w:w="108" w:type="dxa"/>
              <w:bottom w:w="0" w:type="dxa"/>
              <w:right w:w="108" w:type="dxa"/>
            </w:tcMar>
            <w:vAlign w:val="center"/>
            <w:hideMark/>
          </w:tcPr>
          <w:p w14:paraId="44D42570" w14:textId="77777777" w:rsidR="004768A5" w:rsidRDefault="004768A5" w:rsidP="001D117E">
            <w:pPr>
              <w:jc w:val="center"/>
            </w:pPr>
            <w:r>
              <w:rPr>
                <w:rFonts w:ascii="宋体" w:hAnsi="宋体" w:hint="eastAsia"/>
                <w:sz w:val="24"/>
                <w:szCs w:val="24"/>
              </w:rPr>
              <w:t>学科、专业名称</w:t>
            </w:r>
          </w:p>
        </w:tc>
        <w:tc>
          <w:tcPr>
            <w:tcW w:w="6396" w:type="dxa"/>
            <w:tcBorders>
              <w:top w:val="single" w:sz="12" w:space="0" w:color="auto"/>
              <w:left w:val="nil"/>
              <w:bottom w:val="single" w:sz="8" w:space="0" w:color="auto"/>
              <w:right w:val="single" w:sz="12" w:space="0" w:color="auto"/>
            </w:tcBorders>
            <w:tcMar>
              <w:top w:w="0" w:type="dxa"/>
              <w:left w:w="108" w:type="dxa"/>
              <w:bottom w:w="0" w:type="dxa"/>
              <w:right w:w="108" w:type="dxa"/>
            </w:tcMar>
            <w:vAlign w:val="center"/>
            <w:hideMark/>
          </w:tcPr>
          <w:p w14:paraId="19AD1301" w14:textId="77777777" w:rsidR="004768A5" w:rsidRDefault="004768A5" w:rsidP="001D117E">
            <w:r>
              <w:rPr>
                <w:rFonts w:ascii="宋体" w:hAnsi="宋体" w:hint="eastAsia"/>
                <w:sz w:val="24"/>
                <w:szCs w:val="24"/>
              </w:rPr>
              <w:t>教育技术学</w:t>
            </w:r>
          </w:p>
        </w:tc>
      </w:tr>
      <w:tr w:rsidR="004768A5" w14:paraId="1E214E55" w14:textId="77777777" w:rsidTr="001D117E">
        <w:trPr>
          <w:cantSplit/>
          <w:trHeight w:val="12221"/>
        </w:trPr>
        <w:tc>
          <w:tcPr>
            <w:tcW w:w="8276" w:type="dxa"/>
            <w:gridSpan w:val="2"/>
            <w:tcBorders>
              <w:top w:val="nil"/>
              <w:left w:val="single" w:sz="12" w:space="0" w:color="auto"/>
              <w:bottom w:val="single" w:sz="12" w:space="0" w:color="auto"/>
              <w:right w:val="single" w:sz="12" w:space="0" w:color="auto"/>
            </w:tcBorders>
            <w:tcMar>
              <w:top w:w="0" w:type="dxa"/>
              <w:left w:w="108" w:type="dxa"/>
              <w:bottom w:w="0" w:type="dxa"/>
              <w:right w:w="108" w:type="dxa"/>
            </w:tcMar>
          </w:tcPr>
          <w:p w14:paraId="76EFA7A2" w14:textId="77777777" w:rsidR="004768A5" w:rsidRDefault="004768A5" w:rsidP="001D117E">
            <w:pPr>
              <w:ind w:left="1680" w:hanging="1680"/>
              <w:rPr>
                <w:rFonts w:ascii="宋体" w:hAnsi="宋体"/>
                <w:sz w:val="24"/>
                <w:szCs w:val="24"/>
              </w:rPr>
            </w:pPr>
            <w:r>
              <w:rPr>
                <w:rFonts w:ascii="宋体" w:hAnsi="宋体" w:hint="eastAsia"/>
                <w:sz w:val="24"/>
                <w:szCs w:val="24"/>
              </w:rPr>
              <w:t>学科、专业简介（导师、研究方向及其特色、学术地位、研究成果、在</w:t>
            </w:r>
            <w:proofErr w:type="gramStart"/>
            <w:r>
              <w:rPr>
                <w:rFonts w:ascii="宋体" w:hAnsi="宋体" w:hint="eastAsia"/>
                <w:sz w:val="24"/>
                <w:szCs w:val="24"/>
              </w:rPr>
              <w:t>研</w:t>
            </w:r>
            <w:proofErr w:type="gramEnd"/>
            <w:r>
              <w:rPr>
                <w:rFonts w:ascii="宋体" w:hAnsi="宋体" w:hint="eastAsia"/>
                <w:sz w:val="24"/>
                <w:szCs w:val="24"/>
              </w:rPr>
              <w:t>项目、课程设置、就业去向等方面）：</w:t>
            </w:r>
          </w:p>
          <w:p w14:paraId="62FEE3D1" w14:textId="77777777" w:rsidR="004768A5" w:rsidRDefault="004768A5" w:rsidP="001D117E">
            <w:pPr>
              <w:ind w:left="1680" w:hanging="1680"/>
              <w:rPr>
                <w:rFonts w:ascii="宋体" w:hAnsi="宋体" w:hint="eastAsia"/>
                <w:sz w:val="24"/>
                <w:szCs w:val="24"/>
              </w:rPr>
            </w:pPr>
            <w:r>
              <w:rPr>
                <w:rFonts w:ascii="宋体" w:hAnsi="宋体" w:hint="eastAsia"/>
                <w:sz w:val="24"/>
                <w:szCs w:val="24"/>
              </w:rPr>
              <w:t> </w:t>
            </w:r>
          </w:p>
          <w:p w14:paraId="6776AD67" w14:textId="77777777" w:rsidR="004768A5" w:rsidRDefault="004768A5" w:rsidP="001D117E">
            <w:pPr>
              <w:snapToGrid w:val="0"/>
              <w:spacing w:line="400" w:lineRule="atLeast"/>
              <w:ind w:firstLine="480"/>
              <w:rPr>
                <w:rFonts w:ascii="宋体" w:hAnsi="宋体" w:hint="eastAsia"/>
                <w:sz w:val="24"/>
                <w:szCs w:val="24"/>
              </w:rPr>
            </w:pPr>
            <w:r>
              <w:rPr>
                <w:rFonts w:ascii="宋体" w:hAnsi="宋体" w:hint="eastAsia"/>
                <w:sz w:val="24"/>
                <w:szCs w:val="24"/>
              </w:rPr>
              <w:t>教育技术学专业在培养特色上，注重理论与实践结合，培养研究生的综合素质，独立的科研能力、合作沟通能力、设计与开发能力。主要研究方向有：“学习技术”、“STEM教育”和“学习环境（场馆学习、学习空间）”等。</w:t>
            </w:r>
          </w:p>
          <w:p w14:paraId="4EE73883" w14:textId="77777777" w:rsidR="004768A5" w:rsidRDefault="004768A5" w:rsidP="001D117E">
            <w:pPr>
              <w:snapToGrid w:val="0"/>
              <w:spacing w:line="400" w:lineRule="atLeast"/>
              <w:rPr>
                <w:rFonts w:ascii="宋体" w:hAnsi="宋体" w:hint="eastAsia"/>
                <w:sz w:val="24"/>
                <w:szCs w:val="24"/>
              </w:rPr>
            </w:pPr>
          </w:p>
          <w:p w14:paraId="176FC93E" w14:textId="77777777" w:rsidR="004768A5" w:rsidRDefault="004768A5" w:rsidP="004768A5">
            <w:pPr>
              <w:pStyle w:val="a7"/>
              <w:numPr>
                <w:ilvl w:val="0"/>
                <w:numId w:val="1"/>
              </w:numPr>
              <w:snapToGrid w:val="0"/>
              <w:spacing w:line="400" w:lineRule="atLeast"/>
              <w:ind w:firstLineChars="0"/>
              <w:rPr>
                <w:rFonts w:ascii="宋体" w:hAnsi="宋体" w:hint="eastAsia"/>
                <w:b/>
                <w:bCs/>
                <w:sz w:val="24"/>
                <w:szCs w:val="24"/>
              </w:rPr>
            </w:pPr>
            <w:r>
              <w:rPr>
                <w:rFonts w:ascii="宋体" w:hAnsi="宋体" w:hint="eastAsia"/>
                <w:b/>
                <w:bCs/>
                <w:sz w:val="24"/>
                <w:szCs w:val="24"/>
              </w:rPr>
              <w:t>学习技术研究方向</w:t>
            </w:r>
          </w:p>
          <w:p w14:paraId="36880639" w14:textId="77777777" w:rsidR="004768A5" w:rsidRDefault="004768A5" w:rsidP="001D117E">
            <w:pPr>
              <w:snapToGrid w:val="0"/>
              <w:spacing w:line="400" w:lineRule="atLeast"/>
              <w:rPr>
                <w:rFonts w:ascii="宋体" w:hAnsi="宋体" w:hint="eastAsia"/>
                <w:sz w:val="24"/>
                <w:szCs w:val="24"/>
              </w:rPr>
            </w:pPr>
            <w:r>
              <w:rPr>
                <w:rFonts w:ascii="宋体" w:hAnsi="宋体" w:hint="eastAsia"/>
                <w:sz w:val="24"/>
                <w:szCs w:val="24"/>
              </w:rPr>
              <w:t>学习技术是指研究者在文化视野下，将技术、学习内容、学习者相统和的教育技术学的研究新范式，简称CTCL。该研究范式以学习者为中心，关注学习内容与学习者的关联性，追求技术促进学习的有效性，强调学习系统的文化变革。该本方向主要探索：技术支持的基于认知发展的个性化学习、面向学业成就提升的技术干预学业情绪教学研究以及技术促进思维发展研究等。</w:t>
            </w:r>
          </w:p>
          <w:p w14:paraId="1B63831D" w14:textId="77777777" w:rsidR="004768A5" w:rsidRDefault="004768A5" w:rsidP="001D117E">
            <w:pPr>
              <w:snapToGrid w:val="0"/>
              <w:spacing w:line="400" w:lineRule="atLeast"/>
              <w:rPr>
                <w:rFonts w:ascii="宋体" w:hAnsi="宋体" w:hint="eastAsia"/>
                <w:sz w:val="24"/>
                <w:szCs w:val="24"/>
              </w:rPr>
            </w:pPr>
          </w:p>
          <w:p w14:paraId="53A9B12C" w14:textId="77777777" w:rsidR="004768A5" w:rsidRDefault="004768A5" w:rsidP="001D117E">
            <w:pPr>
              <w:spacing w:line="340" w:lineRule="exact"/>
              <w:rPr>
                <w:rFonts w:ascii="宋体" w:hAnsi="宋体" w:hint="eastAsia"/>
                <w:sz w:val="24"/>
                <w:szCs w:val="24"/>
              </w:rPr>
            </w:pPr>
            <w:r>
              <w:rPr>
                <w:rFonts w:ascii="宋体" w:hAnsi="宋体" w:hint="eastAsia"/>
                <w:sz w:val="24"/>
                <w:szCs w:val="24"/>
              </w:rPr>
              <w:t>董玉琦教授，教育技术学科负责人、博士、博士生导师。兼任全国教育科学规划领导小组学科规划组（教育信息技术）专家、教育部高等学校中学教师培养教学指导委员会委员(2019-2022)、全国普通高中信息技术课程标准（2003）研制组共同负责人、全国普通高中信息技术课程标准（2017）修订</w:t>
            </w:r>
            <w:proofErr w:type="gramStart"/>
            <w:r>
              <w:rPr>
                <w:rFonts w:ascii="宋体" w:hAnsi="宋体" w:hint="eastAsia"/>
                <w:sz w:val="24"/>
                <w:szCs w:val="24"/>
              </w:rPr>
              <w:t>组核心</w:t>
            </w:r>
            <w:proofErr w:type="gramEnd"/>
            <w:r>
              <w:rPr>
                <w:rFonts w:ascii="宋体" w:hAnsi="宋体" w:hint="eastAsia"/>
                <w:sz w:val="24"/>
                <w:szCs w:val="24"/>
              </w:rPr>
              <w:t>成员等。曾任（日本）东京学艺大学教师教育课程开发与研究中心外籍教授、中国教育技术协会信息技术教育专业委员会主任委员。曾获教育部优秀青年教师资助计划（2000年度）、2014年高等教育国家教学成果一等奖。当前的主要研究领域为学习技术（CTCL）、信息技术课程与教学、教育信息化发展规划与评估等。主持全国教育科学规划课题以及教育部、上海市委托课题多项，参与国际合作项目多项，在国外期刊、《教育研究》等国内期刊发表学术论文百余篇，在教育科学出版社等出版著作、教材20多部（套）。</w:t>
            </w:r>
          </w:p>
          <w:p w14:paraId="2FFEC352" w14:textId="77777777" w:rsidR="004768A5" w:rsidRDefault="004768A5" w:rsidP="001D117E">
            <w:pPr>
              <w:widowControl w:val="0"/>
              <w:rPr>
                <w:rFonts w:ascii="宋体" w:hAnsi="宋体" w:hint="eastAsia"/>
                <w:sz w:val="24"/>
                <w:szCs w:val="24"/>
              </w:rPr>
            </w:pPr>
          </w:p>
          <w:p w14:paraId="5B97EE90" w14:textId="77777777" w:rsidR="004768A5" w:rsidRDefault="004768A5" w:rsidP="001D117E">
            <w:pPr>
              <w:rPr>
                <w:rFonts w:ascii="宋体" w:hAnsi="宋体" w:hint="eastAsia"/>
                <w:sz w:val="24"/>
                <w:szCs w:val="24"/>
              </w:rPr>
            </w:pPr>
            <w:r>
              <w:rPr>
                <w:rFonts w:ascii="宋体" w:hAnsi="宋体" w:hint="eastAsia"/>
                <w:sz w:val="24"/>
                <w:szCs w:val="24"/>
              </w:rPr>
              <w:t>贺真真副教授，博士、硕士生导师。曾在美国特拉华大学访学一年。她的科研兴趣包括探索学生如何学习数学、解决问题和提出问题，教师应如何设计课堂教学环节来促进学生的学习，以及如何应用现代教育技术来提升学生的学习体验。她曾多次参加国</w:t>
            </w:r>
            <w:proofErr w:type="gramStart"/>
            <w:r>
              <w:rPr>
                <w:rFonts w:ascii="宋体" w:hAnsi="宋体" w:hint="eastAsia"/>
                <w:sz w:val="24"/>
                <w:szCs w:val="24"/>
              </w:rPr>
              <w:t>际会议并发表</w:t>
            </w:r>
            <w:proofErr w:type="gramEnd"/>
            <w:r>
              <w:rPr>
                <w:rFonts w:ascii="宋体" w:hAnsi="宋体" w:hint="eastAsia"/>
                <w:sz w:val="24"/>
                <w:szCs w:val="24"/>
              </w:rPr>
              <w:t>论文。</w:t>
            </w:r>
          </w:p>
          <w:p w14:paraId="6EA7F8FB" w14:textId="77777777" w:rsidR="004768A5" w:rsidRDefault="004768A5" w:rsidP="001D117E">
            <w:pPr>
              <w:widowControl w:val="0"/>
              <w:rPr>
                <w:rFonts w:ascii="宋体" w:hAnsi="宋体" w:hint="eastAsia"/>
                <w:sz w:val="24"/>
                <w:szCs w:val="24"/>
              </w:rPr>
            </w:pPr>
          </w:p>
          <w:p w14:paraId="3D0799E3" w14:textId="77777777" w:rsidR="004768A5" w:rsidRDefault="004768A5" w:rsidP="001D117E">
            <w:pPr>
              <w:widowControl w:val="0"/>
              <w:rPr>
                <w:rFonts w:ascii="宋体" w:hAnsi="宋体" w:hint="eastAsia"/>
                <w:sz w:val="24"/>
                <w:szCs w:val="24"/>
              </w:rPr>
            </w:pPr>
            <w:r>
              <w:rPr>
                <w:rFonts w:ascii="宋体" w:hAnsi="宋体" w:hint="eastAsia"/>
                <w:sz w:val="24"/>
                <w:szCs w:val="24"/>
              </w:rPr>
              <w:t>潘以锋副教授，硕士生导师。主要研究方向：在线教育、教育技术、学习分析、个性化教学与自适应学习平台等。发表论文20余篇，其中国家级核心期刊6篇。</w:t>
            </w:r>
            <w:proofErr w:type="gramStart"/>
            <w:r>
              <w:rPr>
                <w:rFonts w:ascii="宋体" w:hAnsi="宋体" w:hint="eastAsia"/>
                <w:sz w:val="24"/>
                <w:szCs w:val="24"/>
              </w:rPr>
              <w:t>主参编著</w:t>
            </w:r>
            <w:proofErr w:type="gramEnd"/>
            <w:r>
              <w:rPr>
                <w:rFonts w:ascii="宋体" w:hAnsi="宋体" w:hint="eastAsia"/>
                <w:sz w:val="24"/>
                <w:szCs w:val="24"/>
              </w:rPr>
              <w:t>作教材2本。研究生课程：Web编程、数据处理统计、教育大数据、教育技术学术前沿等。</w:t>
            </w:r>
          </w:p>
          <w:p w14:paraId="67A77819" w14:textId="77777777" w:rsidR="004768A5" w:rsidRDefault="004768A5" w:rsidP="001D117E">
            <w:pPr>
              <w:widowControl w:val="0"/>
              <w:rPr>
                <w:rFonts w:ascii="宋体" w:hAnsi="宋体" w:hint="eastAsia"/>
                <w:sz w:val="24"/>
                <w:szCs w:val="24"/>
              </w:rPr>
            </w:pPr>
          </w:p>
          <w:p w14:paraId="1EB740BC" w14:textId="77777777" w:rsidR="004768A5" w:rsidRPr="00B7417A" w:rsidRDefault="004768A5" w:rsidP="001D117E">
            <w:pPr>
              <w:spacing w:line="340" w:lineRule="exact"/>
              <w:rPr>
                <w:rFonts w:ascii="宋体" w:hAnsi="宋体" w:hint="eastAsia"/>
                <w:b/>
                <w:bCs/>
                <w:sz w:val="24"/>
                <w:szCs w:val="24"/>
              </w:rPr>
            </w:pPr>
            <w:r w:rsidRPr="00B7417A">
              <w:rPr>
                <w:rFonts w:ascii="宋体" w:hAnsi="宋体"/>
                <w:b/>
                <w:bCs/>
                <w:sz w:val="24"/>
                <w:szCs w:val="24"/>
              </w:rPr>
              <w:t>2.</w:t>
            </w:r>
            <w:r w:rsidRPr="00B7417A">
              <w:rPr>
                <w:rFonts w:ascii="宋体" w:hAnsi="宋体" w:hint="eastAsia"/>
                <w:b/>
                <w:bCs/>
                <w:sz w:val="24"/>
                <w:szCs w:val="24"/>
              </w:rPr>
              <w:t>STEM教育研究方向</w:t>
            </w:r>
          </w:p>
          <w:p w14:paraId="773B241E" w14:textId="77777777" w:rsidR="004768A5" w:rsidRDefault="004768A5" w:rsidP="001D117E">
            <w:pPr>
              <w:spacing w:line="340" w:lineRule="exact"/>
              <w:rPr>
                <w:rFonts w:ascii="宋体" w:hAnsi="宋体" w:hint="eastAsia"/>
                <w:sz w:val="24"/>
                <w:szCs w:val="24"/>
              </w:rPr>
            </w:pPr>
            <w:r>
              <w:rPr>
                <w:rFonts w:ascii="宋体" w:hAnsi="宋体" w:hint="eastAsia"/>
                <w:sz w:val="24"/>
                <w:szCs w:val="24"/>
              </w:rPr>
              <w:t>STEM是科学（Science）、技术（Technology）、工程（Engineering）和数学（Mathematics）四门学科的简写，将这四门学科的缩写起来强调。STEM教育是多学科交融的研究领域。</w:t>
            </w:r>
            <w:proofErr w:type="gramStart"/>
            <w:r>
              <w:rPr>
                <w:rFonts w:ascii="宋体" w:hAnsi="宋体" w:hint="eastAsia"/>
                <w:sz w:val="24"/>
                <w:szCs w:val="24"/>
              </w:rPr>
              <w:t>本方向</w:t>
            </w:r>
            <w:proofErr w:type="gramEnd"/>
            <w:r>
              <w:rPr>
                <w:rFonts w:ascii="宋体" w:hAnsi="宋体" w:hint="eastAsia"/>
                <w:sz w:val="24"/>
                <w:szCs w:val="24"/>
              </w:rPr>
              <w:t xml:space="preserve">以新技术在STEM教育应用探索，如：小说工程系列研究、STEM课程设计、实体与虚拟乐高学科整合研究、STEM教师教育、STEM MOOC课程开发、中小学生工程教育、STEM课堂情绪能量研究、机器人奥林匹克竞赛调研、AR/VR在物理力学推理研究等。 </w:t>
            </w:r>
          </w:p>
          <w:p w14:paraId="32E5791A" w14:textId="77777777" w:rsidR="004768A5" w:rsidRDefault="004768A5" w:rsidP="001D117E">
            <w:pPr>
              <w:widowControl w:val="0"/>
              <w:spacing w:line="360" w:lineRule="auto"/>
              <w:rPr>
                <w:rFonts w:ascii="宋体" w:hAnsi="宋体" w:hint="eastAsia"/>
                <w:sz w:val="24"/>
                <w:szCs w:val="24"/>
              </w:rPr>
            </w:pPr>
          </w:p>
          <w:p w14:paraId="2863AAFF" w14:textId="77777777" w:rsidR="004768A5" w:rsidRDefault="004768A5" w:rsidP="001D117E">
            <w:pPr>
              <w:widowControl w:val="0"/>
              <w:rPr>
                <w:rFonts w:ascii="宋体" w:hAnsi="宋体" w:hint="eastAsia"/>
                <w:sz w:val="24"/>
                <w:szCs w:val="24"/>
              </w:rPr>
            </w:pPr>
            <w:r>
              <w:rPr>
                <w:rFonts w:ascii="宋体" w:hAnsi="宋体" w:hint="eastAsia"/>
                <w:sz w:val="24"/>
                <w:szCs w:val="24"/>
              </w:rPr>
              <w:t xml:space="preserve">江丰光教授，教育技术系主任、博士、博士生导师。美国麻省理工学院客座科学家、哈萨克斯坦教育部项目外审专家，博士研究生期间公费至日本、德国研究。2017年获全国教育硕士优秀教师。研究领域为STEM教育、信息技术创新教学、学习空间。担任5本国际期刊编辑委员、3本客座主编: British Journal of Educational Technology, LUMAT: Research and Practice in Math, Science and Technology Education , Frontiers in Psychology, STEM Education, International Journal of Engineering Education。25本国际期刊审查委员。2013年获邀世界奥林匹克机器人竞赛顾问委员。2019年受美国高校教育信息化协会邀请担任2020/2021 高等教育地平线报告专家委员。 </w:t>
            </w:r>
          </w:p>
          <w:p w14:paraId="12A3B63B" w14:textId="77777777" w:rsidR="004768A5" w:rsidRDefault="004768A5" w:rsidP="001D117E">
            <w:pPr>
              <w:widowControl w:val="0"/>
              <w:rPr>
                <w:rFonts w:ascii="宋体" w:hAnsi="宋体" w:hint="eastAsia"/>
                <w:sz w:val="24"/>
                <w:szCs w:val="24"/>
              </w:rPr>
            </w:pPr>
          </w:p>
          <w:p w14:paraId="2D92B4C0" w14:textId="77777777" w:rsidR="004768A5" w:rsidRDefault="004768A5" w:rsidP="001D117E">
            <w:pPr>
              <w:snapToGrid w:val="0"/>
              <w:spacing w:line="400" w:lineRule="atLeast"/>
              <w:rPr>
                <w:rFonts w:ascii="宋体" w:hAnsi="宋体" w:hint="eastAsia"/>
                <w:sz w:val="24"/>
                <w:szCs w:val="24"/>
              </w:rPr>
            </w:pPr>
            <w:r>
              <w:rPr>
                <w:rFonts w:ascii="宋体" w:hAnsi="宋体" w:hint="eastAsia"/>
                <w:sz w:val="24"/>
                <w:szCs w:val="24"/>
              </w:rPr>
              <w:t>季隽副教授，博士、硕士生导师。留学美国印第安纳州立大学，主攻教育技术学。主要研究方向：面向教育教学的信息系统开发；网络课程标准、标准化平台和课程设计。发表论文多篇，合作编著1本。</w:t>
            </w:r>
          </w:p>
          <w:p w14:paraId="702CEFE1" w14:textId="77777777" w:rsidR="004768A5" w:rsidRDefault="004768A5" w:rsidP="001D117E">
            <w:pPr>
              <w:widowControl w:val="0"/>
              <w:spacing w:line="360" w:lineRule="auto"/>
              <w:ind w:firstLineChars="200" w:firstLine="480"/>
              <w:rPr>
                <w:rFonts w:ascii="宋体" w:hAnsi="宋体" w:hint="eastAsia"/>
                <w:sz w:val="24"/>
                <w:szCs w:val="24"/>
              </w:rPr>
            </w:pPr>
          </w:p>
          <w:p w14:paraId="06FB8B8B" w14:textId="77777777" w:rsidR="004768A5" w:rsidRDefault="004768A5" w:rsidP="001D117E">
            <w:pPr>
              <w:widowControl w:val="0"/>
              <w:rPr>
                <w:rFonts w:ascii="宋体" w:hAnsi="宋体" w:hint="eastAsia"/>
                <w:sz w:val="24"/>
                <w:szCs w:val="24"/>
              </w:rPr>
            </w:pPr>
            <w:r>
              <w:rPr>
                <w:rFonts w:ascii="宋体" w:hAnsi="宋体" w:hint="eastAsia"/>
                <w:sz w:val="24"/>
                <w:szCs w:val="24"/>
              </w:rPr>
              <w:t>吴振华高级实验师，教育技术系副主任、硕士生导师。曾赴美国密苏里大学孔子学院工作并从事相关教学研究。主要研究领域为儿童STEM教育，信息技术创新教学（英语学科）。近年来在SSCI期刊《Interactive learning Environments》、CSSCI期刊《现代基础教育研究》、国际会议BERA、ICCE等发表中英文论文多篇。担任国际期刊《British Journal of Educational Technology》审稿人。</w:t>
            </w:r>
          </w:p>
          <w:p w14:paraId="7B251042" w14:textId="77777777" w:rsidR="004768A5" w:rsidRDefault="004768A5" w:rsidP="001D117E">
            <w:pPr>
              <w:widowControl w:val="0"/>
              <w:spacing w:line="360" w:lineRule="auto"/>
              <w:rPr>
                <w:rFonts w:ascii="宋体" w:hAnsi="宋体" w:hint="eastAsia"/>
                <w:sz w:val="24"/>
                <w:szCs w:val="24"/>
              </w:rPr>
            </w:pPr>
          </w:p>
          <w:p w14:paraId="57EDC017" w14:textId="77777777" w:rsidR="004768A5" w:rsidRPr="00B7417A" w:rsidRDefault="004768A5" w:rsidP="001D117E">
            <w:pPr>
              <w:widowControl w:val="0"/>
              <w:spacing w:line="360" w:lineRule="auto"/>
              <w:rPr>
                <w:rFonts w:ascii="宋体" w:hAnsi="宋体" w:hint="eastAsia"/>
                <w:b/>
                <w:bCs/>
                <w:sz w:val="24"/>
                <w:szCs w:val="24"/>
              </w:rPr>
            </w:pPr>
            <w:r w:rsidRPr="00B7417A">
              <w:rPr>
                <w:rFonts w:ascii="宋体" w:hAnsi="宋体" w:hint="eastAsia"/>
                <w:b/>
                <w:bCs/>
                <w:sz w:val="24"/>
                <w:szCs w:val="24"/>
              </w:rPr>
              <w:t>3</w:t>
            </w:r>
            <w:r w:rsidRPr="00B7417A">
              <w:rPr>
                <w:rFonts w:ascii="宋体" w:hAnsi="宋体"/>
                <w:b/>
                <w:bCs/>
                <w:sz w:val="24"/>
                <w:szCs w:val="24"/>
              </w:rPr>
              <w:t>.</w:t>
            </w:r>
            <w:r w:rsidRPr="00B7417A">
              <w:rPr>
                <w:rFonts w:ascii="宋体" w:hAnsi="宋体" w:hint="eastAsia"/>
                <w:b/>
                <w:bCs/>
                <w:sz w:val="24"/>
                <w:szCs w:val="24"/>
              </w:rPr>
              <w:t>学习环境研究方向（场馆学习、学习空间）</w:t>
            </w:r>
          </w:p>
          <w:p w14:paraId="56EF25F8" w14:textId="77777777" w:rsidR="004768A5" w:rsidRDefault="004768A5" w:rsidP="001D117E">
            <w:pPr>
              <w:widowControl w:val="0"/>
              <w:spacing w:line="360" w:lineRule="auto"/>
              <w:rPr>
                <w:rFonts w:ascii="宋体" w:hAnsi="宋体" w:hint="eastAsia"/>
                <w:sz w:val="24"/>
                <w:szCs w:val="24"/>
              </w:rPr>
            </w:pPr>
            <w:r>
              <w:rPr>
                <w:rFonts w:ascii="宋体" w:hAnsi="宋体" w:hint="eastAsia"/>
                <w:sz w:val="24"/>
                <w:szCs w:val="24"/>
              </w:rPr>
              <w:t>学习环境包括正式与非正式的学习环境，场馆学习聚焦于博物馆这类非正式学习环境。该方向主要探索：博物馆等非正式学习环境与课堂教学环境间的关系；博物馆学</w:t>
            </w:r>
            <w:proofErr w:type="gramStart"/>
            <w:r>
              <w:rPr>
                <w:rFonts w:ascii="宋体" w:hAnsi="宋体" w:hint="eastAsia"/>
                <w:sz w:val="24"/>
                <w:szCs w:val="24"/>
              </w:rPr>
              <w:t>习空间</w:t>
            </w:r>
            <w:proofErr w:type="gramEnd"/>
            <w:r>
              <w:rPr>
                <w:rFonts w:ascii="宋体" w:hAnsi="宋体" w:hint="eastAsia"/>
                <w:sz w:val="24"/>
                <w:szCs w:val="24"/>
              </w:rPr>
              <w:t>和</w:t>
            </w:r>
            <w:proofErr w:type="gramStart"/>
            <w:r>
              <w:rPr>
                <w:rFonts w:ascii="宋体" w:hAnsi="宋体" w:hint="eastAsia"/>
                <w:sz w:val="24"/>
                <w:szCs w:val="24"/>
              </w:rPr>
              <w:t>展教具</w:t>
            </w:r>
            <w:proofErr w:type="gramEnd"/>
            <w:r>
              <w:rPr>
                <w:rFonts w:ascii="宋体" w:hAnsi="宋体" w:hint="eastAsia"/>
                <w:sz w:val="24"/>
                <w:szCs w:val="24"/>
              </w:rPr>
              <w:t>对学习的影响；博物馆环境中的学习设计、学习技术及中介工具的开发和学习评估研究；博物馆环境中的跨学科学习等；学习空间设计是教育技术研究领域中的一个前瞻性研究方向。聚焦在空间、教学与技术的三角关系，探讨主动学习教室对学生学习体验及效果、教室内物理因素对学</w:t>
            </w:r>
            <w:r>
              <w:rPr>
                <w:rFonts w:ascii="宋体" w:hAnsi="宋体" w:hint="eastAsia"/>
                <w:sz w:val="24"/>
                <w:szCs w:val="24"/>
              </w:rPr>
              <w:lastRenderedPageBreak/>
              <w:t>生学习影响、学生对学习空间中物理因素的偏好以及教师对学习空间的感知与理解。此外，对国际上知名的未来教室案例进行特色、功能与教学应用等分析。该研究方向主要围绕学习空间理论、主动学习空间设计、主动学习空间对学习效果影响、环境心理学等。</w:t>
            </w:r>
          </w:p>
          <w:p w14:paraId="2F907F59" w14:textId="77777777" w:rsidR="004768A5" w:rsidRDefault="004768A5" w:rsidP="001D117E">
            <w:pPr>
              <w:widowControl w:val="0"/>
              <w:rPr>
                <w:rFonts w:ascii="宋体" w:hAnsi="宋体" w:hint="eastAsia"/>
                <w:sz w:val="24"/>
                <w:szCs w:val="24"/>
              </w:rPr>
            </w:pPr>
          </w:p>
          <w:p w14:paraId="55725485" w14:textId="77777777" w:rsidR="004768A5" w:rsidRDefault="004768A5" w:rsidP="001D117E">
            <w:pPr>
              <w:widowControl w:val="0"/>
              <w:rPr>
                <w:rFonts w:ascii="宋体" w:hAnsi="宋体" w:hint="eastAsia"/>
                <w:sz w:val="24"/>
                <w:szCs w:val="24"/>
              </w:rPr>
            </w:pPr>
            <w:r>
              <w:rPr>
                <w:rFonts w:ascii="宋体" w:hAnsi="宋体" w:hint="eastAsia"/>
                <w:sz w:val="24"/>
                <w:szCs w:val="24"/>
              </w:rPr>
              <w:t>鲍贤清副教授，博士、硕士生导师。主要研究方向为STEM和</w:t>
            </w:r>
            <w:proofErr w:type="gramStart"/>
            <w:r>
              <w:rPr>
                <w:rFonts w:ascii="宋体" w:hAnsi="宋体" w:hint="eastAsia"/>
                <w:sz w:val="24"/>
                <w:szCs w:val="24"/>
              </w:rPr>
              <w:t>创客教学</w:t>
            </w:r>
            <w:proofErr w:type="gramEnd"/>
            <w:r>
              <w:rPr>
                <w:rFonts w:ascii="宋体" w:hAnsi="宋体" w:hint="eastAsia"/>
                <w:sz w:val="24"/>
                <w:szCs w:val="24"/>
              </w:rPr>
              <w:t>方法、博物馆学习。曾赴美国哥伦比亚大学教育学院访学，并先后在美国自然历史博物馆、上海科技馆、上海自然博物馆进行博物馆学习的研究。现为中国自然科学博物馆协会继续教育专家库成员、《自然科学博物馆研究》杂志编委。目前主要从事中小学创新课程开发、博物馆教育活动设计和相关的教师培训工作。</w:t>
            </w:r>
          </w:p>
        </w:tc>
      </w:tr>
    </w:tbl>
    <w:p w14:paraId="200690F3" w14:textId="77777777" w:rsidR="00C97E4B" w:rsidRPr="004768A5" w:rsidRDefault="00C97E4B"/>
    <w:sectPr w:rsidR="00C97E4B" w:rsidRPr="004768A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8F7EF5" w14:textId="77777777" w:rsidR="00950B75" w:rsidRDefault="00950B75" w:rsidP="004768A5">
      <w:r>
        <w:separator/>
      </w:r>
    </w:p>
  </w:endnote>
  <w:endnote w:type="continuationSeparator" w:id="0">
    <w:p w14:paraId="5824E653" w14:textId="77777777" w:rsidR="00950B75" w:rsidRDefault="00950B75" w:rsidP="00476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5E1B51" w14:textId="77777777" w:rsidR="00950B75" w:rsidRDefault="00950B75" w:rsidP="004768A5">
      <w:r>
        <w:separator/>
      </w:r>
    </w:p>
  </w:footnote>
  <w:footnote w:type="continuationSeparator" w:id="0">
    <w:p w14:paraId="06381926" w14:textId="77777777" w:rsidR="00950B75" w:rsidRDefault="00950B75" w:rsidP="004768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2C66725"/>
    <w:multiLevelType w:val="hybridMultilevel"/>
    <w:tmpl w:val="A9B8668A"/>
    <w:lvl w:ilvl="0" w:tplc="4AB8FE7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4D1"/>
    <w:rsid w:val="000C6065"/>
    <w:rsid w:val="004768A5"/>
    <w:rsid w:val="00950B75"/>
    <w:rsid w:val="00C97E4B"/>
    <w:rsid w:val="00D0698C"/>
    <w:rsid w:val="00F334D1"/>
    <w:rsid w:val="00F724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F537237-9B43-443B-9ECE-81D453F47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68A5"/>
    <w:pPr>
      <w:jc w:val="both"/>
    </w:pPr>
    <w:rPr>
      <w:rFonts w:ascii="Times New Roman" w:eastAsia="宋体" w:hAnsi="Times New Roman" w:cs="Times New Roman"/>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768A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768A5"/>
    <w:rPr>
      <w:sz w:val="18"/>
      <w:szCs w:val="18"/>
    </w:rPr>
  </w:style>
  <w:style w:type="paragraph" w:styleId="a5">
    <w:name w:val="footer"/>
    <w:basedOn w:val="a"/>
    <w:link w:val="a6"/>
    <w:uiPriority w:val="99"/>
    <w:unhideWhenUsed/>
    <w:rsid w:val="004768A5"/>
    <w:pPr>
      <w:tabs>
        <w:tab w:val="center" w:pos="4153"/>
        <w:tab w:val="right" w:pos="8306"/>
      </w:tabs>
      <w:snapToGrid w:val="0"/>
      <w:jc w:val="left"/>
    </w:pPr>
    <w:rPr>
      <w:sz w:val="18"/>
      <w:szCs w:val="18"/>
    </w:rPr>
  </w:style>
  <w:style w:type="character" w:customStyle="1" w:styleId="a6">
    <w:name w:val="页脚 字符"/>
    <w:basedOn w:val="a0"/>
    <w:link w:val="a5"/>
    <w:uiPriority w:val="99"/>
    <w:rsid w:val="004768A5"/>
    <w:rPr>
      <w:sz w:val="18"/>
      <w:szCs w:val="18"/>
    </w:rPr>
  </w:style>
  <w:style w:type="paragraph" w:styleId="a7">
    <w:name w:val="List Paragraph"/>
    <w:basedOn w:val="a"/>
    <w:uiPriority w:val="34"/>
    <w:qFormat/>
    <w:rsid w:val="004768A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368</Words>
  <Characters>2098</Characters>
  <Application>Microsoft Office Word</Application>
  <DocSecurity>0</DocSecurity>
  <Lines>17</Lines>
  <Paragraphs>4</Paragraphs>
  <ScaleCrop>false</ScaleCrop>
  <Company/>
  <LinksUpToDate>false</LinksUpToDate>
  <CharactersWithSpaces>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dongyq</dc:creator>
  <cp:keywords/>
  <dc:description/>
  <cp:lastModifiedBy>dongyq</cp:lastModifiedBy>
  <cp:revision>2</cp:revision>
  <dcterms:created xsi:type="dcterms:W3CDTF">2020-07-04T15:38:00Z</dcterms:created>
  <dcterms:modified xsi:type="dcterms:W3CDTF">2020-07-04T15:38:00Z</dcterms:modified>
</cp:coreProperties>
</file>