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计算机科学与技术一级学科 全日制学术硕士点简介</w:t>
      </w:r>
    </w:p>
    <w:p>
      <w:pPr>
        <w:jc w:val="center"/>
        <w:rPr>
          <w:rFonts w:ascii="Times New Roman" w:hAnsi="Times New Roman"/>
        </w:rPr>
      </w:pPr>
    </w:p>
    <w:p>
      <w:pPr>
        <w:rPr>
          <w:rFonts w:ascii="Times New Roman" w:hAnsi="Times New Roman"/>
        </w:rPr>
      </w:pPr>
      <w:r>
        <w:rPr>
          <w:rFonts w:hint="eastAsia" w:ascii="Times New Roman" w:hAnsi="Times New Roman"/>
        </w:rPr>
        <w:t xml:space="preserve">学科门类：工学  一级学科代码：0812  一级学科名称：计算机科学与技术(授工学学位) </w:t>
      </w:r>
    </w:p>
    <w:p>
      <w:pPr>
        <w:rPr>
          <w:rFonts w:ascii="Times New Roman" w:hAnsi="Times New Roman"/>
        </w:rPr>
      </w:pPr>
      <w:r>
        <w:rPr>
          <w:rFonts w:hint="eastAsia" w:ascii="Times New Roman" w:hAnsi="Times New Roman"/>
        </w:rPr>
        <w:t>（二级学科代码：081201，二级学科名称：计算机系统结构；二级学科代码：081202，二级学科名称：计算机软件与理论；二级学科代码：081203，二级学科名称：计算机应用技术）</w:t>
      </w:r>
    </w:p>
    <w:p>
      <w:pPr>
        <w:rPr>
          <w:rFonts w:ascii="Times New Roman" w:hAnsi="Times New Roman"/>
        </w:rPr>
      </w:pPr>
    </w:p>
    <w:p>
      <w:pPr>
        <w:ind w:firstLine="420" w:firstLineChars="200"/>
        <w:rPr>
          <w:rFonts w:ascii="Times New Roman" w:hAnsi="Times New Roman"/>
        </w:rPr>
      </w:pPr>
      <w:r>
        <w:rPr>
          <w:rFonts w:hint="eastAsia" w:ascii="Times New Roman" w:hAnsi="Times New Roman"/>
        </w:rPr>
        <w:t>上海师范大学计算机科学与技术专业成立于1986 年，1996 年设置计算机应用技术硕士点，2000 年设置计算机软件与理论硕士点，2010 年招收计算机技术领域工程硕士，2011 年获得计算机科学与技术一级学科硕士点。</w:t>
      </w:r>
    </w:p>
    <w:p>
      <w:pPr>
        <w:rPr>
          <w:rFonts w:ascii="Times New Roman" w:hAnsi="Times New Roman"/>
        </w:rPr>
      </w:pPr>
      <w:r>
        <w:rPr>
          <w:rFonts w:hint="eastAsia" w:ascii="Times New Roman" w:hAnsi="Times New Roman"/>
        </w:rPr>
        <w:t>(1) 学科队伍</w:t>
      </w:r>
    </w:p>
    <w:p>
      <w:pPr>
        <w:ind w:firstLine="435"/>
        <w:rPr>
          <w:rFonts w:ascii="Times New Roman" w:hAnsi="Times New Roman"/>
        </w:rPr>
      </w:pPr>
      <w:r>
        <w:rPr>
          <w:rFonts w:hint="eastAsia" w:ascii="Times New Roman" w:hAnsi="Times New Roman"/>
        </w:rPr>
        <w:t>本学科现有教师50人，其中，具有高级职称的教师共44人，其中教授7人（含</w:t>
      </w:r>
      <w:r>
        <w:rPr>
          <w:rFonts w:ascii="Times New Roman" w:hAnsi="Times New Roman"/>
        </w:rPr>
        <w:t>兼职教授</w:t>
      </w:r>
      <w:r>
        <w:rPr>
          <w:rFonts w:hint="eastAsia" w:ascii="Times New Roman" w:hAnsi="Times New Roman"/>
        </w:rPr>
        <w:t>），具有博士学位的教师共41人。本学科成员获得教育部科学技术进步奖3 人，上海市科学技术进步奖4 人，上海市教学成果奖特等奖1 人、一等奖1人、二等奖5人，2 人获上海市精品课程，9 名学科成员先后获得全国优秀教师奖、全国宝钢优秀教师奖、上海市育才奖、上海市曙光学者等荣誉称号。</w:t>
      </w:r>
    </w:p>
    <w:p>
      <w:pPr>
        <w:rPr>
          <w:rFonts w:ascii="Times New Roman" w:hAnsi="Times New Roman"/>
        </w:rPr>
      </w:pPr>
      <w:r>
        <w:rPr>
          <w:rFonts w:hint="eastAsia" w:ascii="Times New Roman" w:hAnsi="Times New Roman"/>
        </w:rPr>
        <w:t>(2) 主要研究方向</w:t>
      </w:r>
    </w:p>
    <w:p>
      <w:pPr>
        <w:ind w:firstLine="435"/>
        <w:rPr>
          <w:rFonts w:ascii="Times New Roman" w:hAnsi="Times New Roman"/>
        </w:rPr>
      </w:pPr>
      <w:r>
        <w:rPr>
          <w:rFonts w:hint="eastAsia" w:ascii="Times New Roman" w:hAnsi="Times New Roman"/>
        </w:rPr>
        <w:t>本学科现已形成四个稳定的研究方向：软件工程理论与设计、图像处理与模式识别、计算机网络理论及应用和大数据与人工智能，学科成员发挥各自在基础理论和应用研究方面的优势，相互合作，在软件容错技术、图像特征提取与分析、网络分析与建模、海量数据分析与查询等方面已取得一系列原创性成果。</w:t>
      </w:r>
    </w:p>
    <w:p>
      <w:pPr>
        <w:ind w:firstLine="435"/>
        <w:rPr>
          <w:rFonts w:ascii="Times New Roman" w:hAnsi="Times New Roman"/>
        </w:rPr>
      </w:pPr>
      <w:r>
        <w:rPr>
          <w:rFonts w:hint="eastAsia" w:ascii="Times New Roman" w:hAnsi="Times New Roman"/>
        </w:rPr>
        <w:t>近年来</w:t>
      </w:r>
      <w:r>
        <w:rPr>
          <w:rFonts w:ascii="Times New Roman" w:hAnsi="Times New Roman"/>
        </w:rPr>
        <w:t>，本学科聚焦人工智能、大数据、物联网</w:t>
      </w:r>
      <w:r>
        <w:rPr>
          <w:rFonts w:hint="eastAsia" w:ascii="Times New Roman" w:hAnsi="Times New Roman"/>
        </w:rPr>
        <w:t>等</w:t>
      </w:r>
      <w:r>
        <w:rPr>
          <w:rFonts w:ascii="Times New Roman" w:hAnsi="Times New Roman"/>
        </w:rPr>
        <w:t>前沿技术领域，</w:t>
      </w:r>
      <w:r>
        <w:rPr>
          <w:rFonts w:hint="eastAsia" w:ascii="Times New Roman" w:hAnsi="Times New Roman"/>
        </w:rPr>
        <w:t>结合</w:t>
      </w:r>
      <w:r>
        <w:rPr>
          <w:rFonts w:ascii="Times New Roman" w:hAnsi="Times New Roman"/>
        </w:rPr>
        <w:t>主要研究方向开展特色研究；同时，融合上海师范大学教师教育特色的</w:t>
      </w:r>
      <w:r>
        <w:rPr>
          <w:rFonts w:hint="eastAsia" w:ascii="Times New Roman" w:hAnsi="Times New Roman"/>
        </w:rPr>
        <w:t>学校</w:t>
      </w:r>
      <w:r>
        <w:rPr>
          <w:rFonts w:ascii="Times New Roman" w:hAnsi="Times New Roman"/>
        </w:rPr>
        <w:t>特点，致力于未来人工智能教育领域的前沿探索。</w:t>
      </w:r>
    </w:p>
    <w:p>
      <w:pPr>
        <w:rPr>
          <w:rFonts w:ascii="Times New Roman" w:hAnsi="Times New Roman"/>
        </w:rPr>
      </w:pPr>
      <w:r>
        <w:rPr>
          <w:rFonts w:hint="eastAsia" w:ascii="Times New Roman" w:hAnsi="Times New Roman"/>
        </w:rPr>
        <w:t>(3) 科学研究</w:t>
      </w:r>
    </w:p>
    <w:p>
      <w:pPr>
        <w:rPr>
          <w:rFonts w:ascii="Times New Roman" w:hAnsi="Times New Roman"/>
        </w:rPr>
      </w:pPr>
      <w:r>
        <w:rPr>
          <w:rFonts w:hint="eastAsia" w:ascii="Times New Roman" w:hAnsi="Times New Roman"/>
        </w:rPr>
        <w:t xml:space="preserve">    本学科承担和参与完成国家自然科学基金项目、省部级及企事业合作科研项目共51项，其中，国家自然科学基金项目13项，省部级项目8项；发表论文近330余篇，其中，被SCI/EI/ISTP收录110篇。</w:t>
      </w:r>
    </w:p>
    <w:p>
      <w:pPr>
        <w:ind w:firstLine="420" w:firstLineChars="200"/>
        <w:rPr>
          <w:rFonts w:ascii="Times New Roman" w:hAnsi="Times New Roman"/>
        </w:rPr>
      </w:pPr>
      <w:r>
        <w:rPr>
          <w:rFonts w:hint="eastAsia" w:ascii="Times New Roman" w:hAnsi="Times New Roman"/>
        </w:rPr>
        <w:t>本学科注重发挥学科优势将研究成果向企业推广，主动为社会服务。本学科的依托单位之一计算机应用技术研究所是我国储运自动化技术的开拓者，其成果的应用已遍及26 个省市自治区。本学科成员为神一至神五航天飞机研制了仿真测试平台，为国家航空航天事业做出重大贡献。本学科主持完成的互联网舆情大数据管理分析系统平台、在线远程智能人体测量系统、X射线异物检测仪先后在第19届和21届中国国际工业博览会展出，受到业界同行的高度评价。</w:t>
      </w:r>
    </w:p>
    <w:p>
      <w:pPr>
        <w:rPr>
          <w:rFonts w:ascii="Times New Roman" w:hAnsi="Times New Roman"/>
        </w:rPr>
      </w:pPr>
      <w:r>
        <w:rPr>
          <w:rFonts w:hint="eastAsia" w:ascii="Times New Roman" w:hAnsi="Times New Roman"/>
        </w:rPr>
        <w:t>(4) 人才培养</w:t>
      </w:r>
    </w:p>
    <w:p>
      <w:pPr>
        <w:ind w:firstLine="420" w:firstLineChars="200"/>
        <w:rPr>
          <w:rFonts w:ascii="Times New Roman" w:hAnsi="Times New Roman"/>
        </w:rPr>
      </w:pPr>
      <w:r>
        <w:rPr>
          <w:rFonts w:hint="eastAsia" w:ascii="Times New Roman" w:hAnsi="Times New Roman"/>
        </w:rPr>
        <w:t>本学科人才培养方案的主要特色是突出科研</w:t>
      </w:r>
      <w:r>
        <w:rPr>
          <w:rFonts w:ascii="Times New Roman" w:hAnsi="Times New Roman"/>
        </w:rPr>
        <w:t>创新能力与技术研发能力相结合</w:t>
      </w:r>
      <w:r>
        <w:rPr>
          <w:rFonts w:hint="eastAsia" w:ascii="Times New Roman" w:hAnsi="Times New Roman"/>
        </w:rPr>
        <w:t>，专注于导师</w:t>
      </w:r>
      <w:r>
        <w:rPr>
          <w:rFonts w:ascii="Times New Roman" w:hAnsi="Times New Roman"/>
        </w:rPr>
        <w:t>课题组团队化的协作培养并</w:t>
      </w:r>
      <w:r>
        <w:rPr>
          <w:rFonts w:hint="eastAsia" w:ascii="Times New Roman" w:hAnsi="Times New Roman"/>
        </w:rPr>
        <w:t>锻造</w:t>
      </w:r>
      <w:r>
        <w:rPr>
          <w:rFonts w:ascii="Times New Roman" w:hAnsi="Times New Roman"/>
        </w:rPr>
        <w:t>学生独立开展研究的</w:t>
      </w:r>
      <w:r>
        <w:rPr>
          <w:rFonts w:hint="eastAsia" w:ascii="Times New Roman" w:hAnsi="Times New Roman"/>
        </w:rPr>
        <w:t>科学</w:t>
      </w:r>
      <w:r>
        <w:rPr>
          <w:rFonts w:ascii="Times New Roman" w:hAnsi="Times New Roman"/>
        </w:rPr>
        <w:t>素养</w:t>
      </w:r>
      <w:r>
        <w:rPr>
          <w:rFonts w:hint="eastAsia" w:ascii="Times New Roman" w:hAnsi="Times New Roman"/>
        </w:rPr>
        <w:t>，突出培养能适应上海国际化大都市建设和长三角地区信息产业发展需要的各类开发、研究和应用人才，为上海输送大量适应信息社会需求的计算机技术专门人才。近年来</w:t>
      </w:r>
      <w:r>
        <w:rPr>
          <w:rFonts w:ascii="Times New Roman" w:hAnsi="Times New Roman"/>
        </w:rPr>
        <w:t>，</w:t>
      </w:r>
      <w:r>
        <w:rPr>
          <w:rFonts w:hint="eastAsia" w:ascii="Times New Roman" w:hAnsi="Times New Roman"/>
        </w:rPr>
        <w:t>本学科</w:t>
      </w:r>
      <w:r>
        <w:rPr>
          <w:rFonts w:ascii="Times New Roman" w:hAnsi="Times New Roman"/>
        </w:rPr>
        <w:t>研究生</w:t>
      </w:r>
      <w:r>
        <w:rPr>
          <w:rFonts w:hint="eastAsia" w:ascii="Times New Roman" w:hAnsi="Times New Roman"/>
        </w:rPr>
        <w:t>就业</w:t>
      </w:r>
      <w:r>
        <w:rPr>
          <w:rFonts w:ascii="Times New Roman" w:hAnsi="Times New Roman"/>
        </w:rPr>
        <w:t>质量保持学校前列，多位优秀毕业生就业于</w:t>
      </w:r>
      <w:r>
        <w:rPr>
          <w:rFonts w:hint="eastAsia" w:ascii="Times New Roman" w:hAnsi="Times New Roman"/>
        </w:rPr>
        <w:t>华为、阿里云等</w:t>
      </w:r>
      <w:r>
        <w:rPr>
          <w:rFonts w:ascii="Times New Roman" w:hAnsi="Times New Roman"/>
        </w:rPr>
        <w:t>互联网、</w:t>
      </w:r>
      <w:r>
        <w:rPr>
          <w:rFonts w:hint="eastAsia" w:ascii="Times New Roman" w:hAnsi="Times New Roman"/>
        </w:rPr>
        <w:t>IT行业</w:t>
      </w:r>
      <w:r>
        <w:rPr>
          <w:rFonts w:ascii="Times New Roman" w:hAnsi="Times New Roman"/>
        </w:rPr>
        <w:t>龙头企业</w:t>
      </w:r>
      <w:r>
        <w:rPr>
          <w:rFonts w:hint="eastAsia" w:ascii="Times New Roman" w:hAnsi="Times New Roman"/>
        </w:rPr>
        <w:t>，</w:t>
      </w:r>
      <w:r>
        <w:rPr>
          <w:rFonts w:ascii="Times New Roman" w:hAnsi="Times New Roman"/>
        </w:rPr>
        <w:t>获得社会广泛好评</w:t>
      </w:r>
      <w:r>
        <w:rPr>
          <w:rFonts w:hint="eastAsia" w:ascii="Times New Roman" w:hAnsi="Times New Roman"/>
        </w:rPr>
        <w:t>；</w:t>
      </w:r>
      <w:r>
        <w:rPr>
          <w:rFonts w:ascii="Times New Roman" w:hAnsi="Times New Roman"/>
        </w:rPr>
        <w:t>多位</w:t>
      </w:r>
      <w:r>
        <w:rPr>
          <w:rFonts w:hint="eastAsia" w:ascii="Times New Roman" w:hAnsi="Times New Roman"/>
        </w:rPr>
        <w:t>研究生</w:t>
      </w:r>
      <w:r>
        <w:rPr>
          <w:rFonts w:ascii="Times New Roman" w:hAnsi="Times New Roman"/>
        </w:rPr>
        <w:t>进入复旦</w:t>
      </w:r>
      <w:r>
        <w:rPr>
          <w:rFonts w:hint="eastAsia" w:ascii="Times New Roman" w:hAnsi="Times New Roman"/>
        </w:rPr>
        <w:t>大学</w:t>
      </w:r>
      <w:r>
        <w:rPr>
          <w:rFonts w:ascii="Times New Roman" w:hAnsi="Times New Roman"/>
        </w:rPr>
        <w:t>、天津大学</w:t>
      </w:r>
      <w:r>
        <w:rPr>
          <w:rFonts w:hint="eastAsia" w:ascii="Times New Roman" w:hAnsi="Times New Roman"/>
        </w:rPr>
        <w:t>等</w:t>
      </w:r>
      <w:r>
        <w:rPr>
          <w:rFonts w:ascii="Times New Roman" w:hAnsi="Times New Roman"/>
        </w:rPr>
        <w:t>国内外知名高校攻读博士学位。</w:t>
      </w:r>
    </w:p>
    <w:p>
      <w:pPr>
        <w:ind w:firstLine="420" w:firstLineChars="200"/>
        <w:rPr>
          <w:rFonts w:ascii="Times New Roman" w:hAnsi="Times New Roman"/>
        </w:rPr>
      </w:pPr>
      <w:r>
        <w:rPr>
          <w:rFonts w:hint="eastAsia" w:ascii="Times New Roman" w:hAnsi="Times New Roman"/>
        </w:rPr>
        <w:t>本学科为研究生创造良好的软硬件环境和条件，已建立多个研究</w:t>
      </w:r>
      <w:r>
        <w:rPr>
          <w:rFonts w:ascii="Times New Roman" w:hAnsi="Times New Roman"/>
        </w:rPr>
        <w:t>特色突出的科研团队，</w:t>
      </w:r>
      <w:r>
        <w:rPr>
          <w:rFonts w:hint="eastAsia" w:ascii="Times New Roman" w:hAnsi="Times New Roman"/>
        </w:rPr>
        <w:t>制订一系列奖励办法激励学生科研创新。近五年来，本学科研究生在读期间在各类学术期刊上发表论文快速</w:t>
      </w:r>
      <w:r>
        <w:rPr>
          <w:rFonts w:ascii="Times New Roman" w:hAnsi="Times New Roman"/>
        </w:rPr>
        <w:t>上升</w:t>
      </w:r>
      <w:r>
        <w:rPr>
          <w:rFonts w:hint="eastAsia" w:ascii="Times New Roman" w:hAnsi="Times New Roman"/>
        </w:rPr>
        <w:t>，其中SCI/EI期刊检索的</w:t>
      </w:r>
      <w:r>
        <w:rPr>
          <w:rFonts w:ascii="Times New Roman" w:hAnsi="Times New Roman"/>
        </w:rPr>
        <w:t>高水平论文</w:t>
      </w:r>
      <w:r>
        <w:rPr>
          <w:rFonts w:hint="eastAsia" w:ascii="Times New Roman" w:hAnsi="Times New Roman"/>
        </w:rPr>
        <w:t>始终</w:t>
      </w:r>
      <w:r>
        <w:rPr>
          <w:rFonts w:ascii="Times New Roman" w:hAnsi="Times New Roman"/>
        </w:rPr>
        <w:t>保持年增长</w:t>
      </w:r>
      <w:r>
        <w:rPr>
          <w:rFonts w:hint="eastAsia" w:ascii="Times New Roman" w:hAnsi="Times New Roman"/>
        </w:rPr>
        <w:t>；研究生在</w:t>
      </w:r>
      <w:r>
        <w:rPr>
          <w:rFonts w:ascii="Times New Roman" w:hAnsi="Times New Roman"/>
        </w:rPr>
        <w:t>导师指导下</w:t>
      </w:r>
      <w:r>
        <w:rPr>
          <w:rFonts w:hint="eastAsia" w:ascii="Times New Roman" w:hAnsi="Times New Roman"/>
        </w:rPr>
        <w:t>申请</w:t>
      </w:r>
      <w:r>
        <w:rPr>
          <w:rFonts w:ascii="Times New Roman" w:hAnsi="Times New Roman"/>
        </w:rPr>
        <w:t>技术发明专利及软件著作权</w:t>
      </w:r>
      <w:r>
        <w:rPr>
          <w:rFonts w:hint="eastAsia" w:ascii="Times New Roman" w:hAnsi="Times New Roman"/>
        </w:rPr>
        <w:t>，</w:t>
      </w:r>
      <w:r>
        <w:rPr>
          <w:rFonts w:ascii="Times New Roman" w:hAnsi="Times New Roman"/>
        </w:rPr>
        <w:t>为学科点建设贡献力量</w:t>
      </w:r>
      <w:r>
        <w:rPr>
          <w:rFonts w:hint="eastAsia" w:ascii="Times New Roman" w:hAnsi="Times New Roman"/>
        </w:rPr>
        <w:t>；同时</w:t>
      </w:r>
      <w:r>
        <w:rPr>
          <w:rFonts w:ascii="Times New Roman" w:hAnsi="Times New Roman"/>
        </w:rPr>
        <w:t>，</w:t>
      </w:r>
      <w:r>
        <w:rPr>
          <w:rFonts w:hint="eastAsia" w:ascii="Times New Roman" w:hAnsi="Times New Roman"/>
        </w:rPr>
        <w:t>近年来</w:t>
      </w:r>
      <w:r>
        <w:rPr>
          <w:rFonts w:ascii="Times New Roman" w:hAnsi="Times New Roman"/>
        </w:rPr>
        <w:t>多位研究生</w:t>
      </w:r>
      <w:r>
        <w:rPr>
          <w:rFonts w:hint="eastAsia" w:ascii="Times New Roman" w:hAnsi="Times New Roman"/>
        </w:rPr>
        <w:t>在</w:t>
      </w:r>
      <w:r>
        <w:rPr>
          <w:rFonts w:ascii="Times New Roman" w:hAnsi="Times New Roman"/>
        </w:rPr>
        <w:t>全国研究生电子设计竞赛、全国研究生</w:t>
      </w:r>
      <w:r>
        <w:rPr>
          <w:rFonts w:hint="eastAsia" w:ascii="Times New Roman" w:hAnsi="Times New Roman"/>
        </w:rPr>
        <w:t>数学</w:t>
      </w:r>
      <w:r>
        <w:rPr>
          <w:rFonts w:ascii="Times New Roman" w:hAnsi="Times New Roman"/>
        </w:rPr>
        <w:t>建模竞赛中获得奖项，体现出</w:t>
      </w:r>
      <w:r>
        <w:rPr>
          <w:rFonts w:hint="eastAsia" w:ascii="Times New Roman" w:hAnsi="Times New Roman"/>
        </w:rPr>
        <w:t>学科</w:t>
      </w:r>
      <w:r>
        <w:rPr>
          <w:rFonts w:ascii="Times New Roman" w:hAnsi="Times New Roman"/>
        </w:rPr>
        <w:t>人才培养中</w:t>
      </w:r>
      <w:r>
        <w:rPr>
          <w:rFonts w:hint="eastAsia" w:ascii="Times New Roman" w:hAnsi="Times New Roman"/>
        </w:rPr>
        <w:t>以</w:t>
      </w:r>
      <w:r>
        <w:rPr>
          <w:rFonts w:ascii="Times New Roman" w:hAnsi="Times New Roman"/>
        </w:rPr>
        <w:t>学生能力为中心的</w:t>
      </w:r>
      <w:r>
        <w:rPr>
          <w:rFonts w:hint="eastAsia" w:ascii="Times New Roman" w:hAnsi="Times New Roman"/>
        </w:rPr>
        <w:t>多元</w:t>
      </w:r>
      <w:r>
        <w:rPr>
          <w:rFonts w:ascii="Times New Roman" w:hAnsi="Times New Roman"/>
        </w:rPr>
        <w:t>化培养</w:t>
      </w:r>
      <w:r>
        <w:rPr>
          <w:rFonts w:hint="eastAsia" w:ascii="Times New Roman" w:hAnsi="Times New Roman"/>
        </w:rPr>
        <w:t>成果</w:t>
      </w:r>
      <w:r>
        <w:rPr>
          <w:rFonts w:ascii="Times New Roman" w:hAnsi="Times New Roman"/>
        </w:rPr>
        <w:t>。</w:t>
      </w:r>
    </w:p>
    <w:p>
      <w:pPr>
        <w:ind w:firstLine="420" w:firstLineChars="200"/>
        <w:rPr>
          <w:rFonts w:ascii="Times New Roman" w:hAnsi="Times New Roman"/>
        </w:rPr>
      </w:pPr>
      <w:bookmarkStart w:id="0" w:name="_GoBack"/>
      <w:bookmarkEnd w:id="0"/>
    </w:p>
    <w:p>
      <w:pPr>
        <w:widowControl/>
        <w:jc w:val="left"/>
        <w:rPr>
          <w:rFonts w:ascii="Times New Roman" w:hAnsi="Times New Roman"/>
        </w:rPr>
      </w:pPr>
      <w:r>
        <w:rPr>
          <w:rFonts w:ascii="Times New Roman" w:hAnsi="Times New Roman"/>
        </w:rPr>
        <w:br w:type="page"/>
      </w:r>
    </w:p>
    <w:p>
      <w:pPr>
        <w:rPr>
          <w:rFonts w:ascii="Times New Roman" w:hAnsi="Times New Roman"/>
        </w:rPr>
      </w:pPr>
      <w:r>
        <w:rPr>
          <w:rFonts w:hint="eastAsia" w:ascii="Times New Roman" w:hAnsi="Times New Roman"/>
        </w:rPr>
        <w:drawing>
          <wp:inline distT="0" distB="0" distL="0" distR="0">
            <wp:extent cx="2193925" cy="2822575"/>
            <wp:effectExtent l="0" t="0" r="0" b="0"/>
            <wp:docPr id="4" name="图片 4" descr="D:\研究生\学科点介绍\上海市科学技术奖二等奖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研究生\学科点介绍\上海市科学技术奖二等奖3.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193951" cy="2822643"/>
                    </a:xfrm>
                    <a:prstGeom prst="rect">
                      <a:avLst/>
                    </a:prstGeom>
                    <a:noFill/>
                    <a:ln>
                      <a:noFill/>
                    </a:ln>
                  </pic:spPr>
                </pic:pic>
              </a:graphicData>
            </a:graphic>
          </wp:inline>
        </w:drawing>
      </w:r>
    </w:p>
    <w:p>
      <w:pPr>
        <w:rPr>
          <w:rFonts w:ascii="Times New Roman" w:hAnsi="Times New Roman"/>
        </w:rPr>
      </w:pPr>
      <w:r>
        <w:rPr>
          <w:rFonts w:hint="eastAsia" w:ascii="Times New Roman" w:hAnsi="Times New Roman"/>
        </w:rPr>
        <w:t>上海市科学技术奖二等奖</w:t>
      </w:r>
    </w:p>
    <w:p>
      <w:pPr>
        <w:rPr>
          <w:rFonts w:ascii="Times New Roman" w:hAnsi="Times New Roman"/>
        </w:rPr>
      </w:pPr>
    </w:p>
    <w:p>
      <w:pPr>
        <w:rPr>
          <w:rFonts w:ascii="Times New Roman" w:hAnsi="Times New Roman"/>
        </w:rPr>
      </w:pPr>
      <w:r>
        <w:rPr>
          <w:rFonts w:hint="eastAsia" w:ascii="Times New Roman" w:hAnsi="Times New Roman"/>
        </w:rPr>
        <w:drawing>
          <wp:inline distT="0" distB="0" distL="0" distR="0">
            <wp:extent cx="2333625" cy="3111500"/>
            <wp:effectExtent l="0" t="0" r="9525" b="0"/>
            <wp:docPr id="5" name="图片 5" descr="D:\研究生\学科点介绍\上海市科学技术奖二等奖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研究生\学科点介绍\上海市科学技术奖二等奖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33839" cy="3111693"/>
                    </a:xfrm>
                    <a:prstGeom prst="rect">
                      <a:avLst/>
                    </a:prstGeom>
                    <a:noFill/>
                    <a:ln>
                      <a:noFill/>
                    </a:ln>
                  </pic:spPr>
                </pic:pic>
              </a:graphicData>
            </a:graphic>
          </wp:inline>
        </w:drawing>
      </w:r>
    </w:p>
    <w:p>
      <w:pPr>
        <w:rPr>
          <w:rFonts w:ascii="Times New Roman" w:hAnsi="Times New Roman"/>
        </w:rPr>
      </w:pPr>
      <w:r>
        <w:rPr>
          <w:rFonts w:hint="eastAsia" w:ascii="Times New Roman" w:hAnsi="Times New Roman"/>
        </w:rPr>
        <w:t>上海市科学技术奖二等奖</w:t>
      </w:r>
    </w:p>
    <w:p>
      <w:pPr>
        <w:rPr>
          <w:rFonts w:ascii="Times New Roman" w:hAnsi="Times New Roman"/>
        </w:rPr>
      </w:pPr>
    </w:p>
    <w:p>
      <w:pPr>
        <w:rPr>
          <w:rFonts w:ascii="Times New Roman" w:hAnsi="Times New Roman"/>
        </w:rPr>
      </w:pPr>
      <w:r>
        <w:rPr>
          <w:rFonts w:hint="eastAsia" w:ascii="Times New Roman" w:hAnsi="Times New Roman"/>
        </w:rPr>
        <w:drawing>
          <wp:inline distT="0" distB="0" distL="0" distR="0">
            <wp:extent cx="3275330" cy="4283075"/>
            <wp:effectExtent l="0" t="0" r="1270" b="3175"/>
            <wp:docPr id="6" name="图片 6" descr="D:\研究生\学科点介绍\上海市科学技术奖二等奖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研究生\学科点介绍\上海市科学技术奖二等奖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276148" cy="4284012"/>
                    </a:xfrm>
                    <a:prstGeom prst="rect">
                      <a:avLst/>
                    </a:prstGeom>
                    <a:noFill/>
                    <a:ln>
                      <a:noFill/>
                    </a:ln>
                  </pic:spPr>
                </pic:pic>
              </a:graphicData>
            </a:graphic>
          </wp:inline>
        </w:drawing>
      </w:r>
    </w:p>
    <w:p>
      <w:pPr>
        <w:rPr>
          <w:rFonts w:ascii="Times New Roman" w:hAnsi="Times New Roman"/>
        </w:rPr>
      </w:pPr>
      <w:r>
        <w:rPr>
          <w:rFonts w:hint="eastAsia" w:ascii="Times New Roman" w:hAnsi="Times New Roman"/>
        </w:rPr>
        <w:t>上海市科学技术奖二等奖</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drawing>
          <wp:inline distT="0" distB="0" distL="0" distR="0">
            <wp:extent cx="1767840" cy="2560320"/>
            <wp:effectExtent l="0" t="0" r="3810" b="0"/>
            <wp:docPr id="1" name="图片 1" descr="C:\Users\MaYan\Desktop\上海市级教学成果奖获奖证书.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MaYan\Desktop\上海市级教学成果奖获奖证书.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69666" cy="2562413"/>
                    </a:xfrm>
                    <a:prstGeom prst="rect">
                      <a:avLst/>
                    </a:prstGeom>
                    <a:noFill/>
                    <a:ln>
                      <a:noFill/>
                    </a:ln>
                  </pic:spPr>
                </pic:pic>
              </a:graphicData>
            </a:graphic>
          </wp:inline>
        </w:drawing>
      </w:r>
    </w:p>
    <w:p>
      <w:pPr>
        <w:rPr>
          <w:rFonts w:ascii="Times New Roman" w:hAnsi="Times New Roman"/>
        </w:rPr>
      </w:pPr>
      <w:r>
        <w:rPr>
          <w:rFonts w:hint="eastAsia" w:ascii="Times New Roman" w:hAnsi="Times New Roman"/>
        </w:rPr>
        <w:t>上海市教学成果奖</w:t>
      </w: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drawing>
          <wp:inline distT="0" distB="0" distL="0" distR="0">
            <wp:extent cx="2146300" cy="2628900"/>
            <wp:effectExtent l="0" t="0" r="6350" b="0"/>
            <wp:docPr id="2" name="图片 2" descr="D:\工博会\宣传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工博会\宣传图.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52033" cy="2635734"/>
                    </a:xfrm>
                    <a:prstGeom prst="rect">
                      <a:avLst/>
                    </a:prstGeom>
                    <a:noFill/>
                    <a:ln>
                      <a:noFill/>
                    </a:ln>
                  </pic:spPr>
                </pic:pic>
              </a:graphicData>
            </a:graphic>
          </wp:inline>
        </w:drawing>
      </w:r>
    </w:p>
    <w:p>
      <w:pPr>
        <w:rPr>
          <w:rFonts w:ascii="Times New Roman" w:hAnsi="Times New Roman"/>
        </w:rPr>
      </w:pPr>
      <w:r>
        <w:rPr>
          <w:rFonts w:hint="eastAsia" w:ascii="Times New Roman" w:hAnsi="Times New Roman"/>
        </w:rPr>
        <w:t>在线远程智能人体测量系统</w:t>
      </w:r>
    </w:p>
    <w:p>
      <w:pPr>
        <w:rPr>
          <w:rFonts w:ascii="Times New Roman" w:hAnsi="Times New Roman"/>
        </w:rPr>
      </w:pPr>
    </w:p>
    <w:p>
      <w:pPr>
        <w:rPr>
          <w:rFonts w:ascii="Times New Roman" w:hAnsi="Times New Roman"/>
        </w:rPr>
      </w:pPr>
      <w:r>
        <w:rPr>
          <w:rFonts w:hint="eastAsia" w:ascii="Times New Roman" w:hAnsi="Times New Roman"/>
        </w:rPr>
        <w:drawing>
          <wp:inline distT="0" distB="0" distL="0" distR="0">
            <wp:extent cx="1352550" cy="2226310"/>
            <wp:effectExtent l="0" t="0" r="0" b="2540"/>
            <wp:docPr id="3" name="图片 3" descr="D:\智能计算与图像处理研究所\X光机检测仪.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智能计算与图像处理研究所\X光机检测仪.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55100" cy="2229825"/>
                    </a:xfrm>
                    <a:prstGeom prst="rect">
                      <a:avLst/>
                    </a:prstGeom>
                    <a:noFill/>
                    <a:ln>
                      <a:noFill/>
                    </a:ln>
                  </pic:spPr>
                </pic:pic>
              </a:graphicData>
            </a:graphic>
          </wp:inline>
        </w:drawing>
      </w:r>
    </w:p>
    <w:p>
      <w:pPr>
        <w:rPr>
          <w:rFonts w:ascii="Times New Roman" w:hAnsi="Times New Roman"/>
        </w:rPr>
      </w:pPr>
      <w:r>
        <w:rPr>
          <w:rFonts w:hint="eastAsia" w:ascii="Times New Roman" w:hAnsi="Times New Roman"/>
        </w:rPr>
        <w:t>X射线异物检测仪</w:t>
      </w:r>
    </w:p>
    <w:p>
      <w:pPr>
        <w:rPr>
          <w:rFonts w:ascii="Times New Roman" w:hAnsi="Times New Roman"/>
        </w:rPr>
      </w:pPr>
    </w:p>
    <w:p>
      <w:pPr>
        <w:rPr>
          <w:rFonts w:ascii="Times New Roman" w:hAnsi="Times New Roman"/>
        </w:rPr>
      </w:pPr>
    </w:p>
    <w:p>
      <w:pPr>
        <w:rPr>
          <w:rFonts w:ascii="Times New Roman" w:hAnsi="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A6E"/>
    <w:rsid w:val="000038B3"/>
    <w:rsid w:val="00074C9D"/>
    <w:rsid w:val="001A2D95"/>
    <w:rsid w:val="001B0039"/>
    <w:rsid w:val="001B4E6A"/>
    <w:rsid w:val="001F17B8"/>
    <w:rsid w:val="00203952"/>
    <w:rsid w:val="0028582F"/>
    <w:rsid w:val="002F6ACE"/>
    <w:rsid w:val="003C168B"/>
    <w:rsid w:val="00415838"/>
    <w:rsid w:val="004F5A6E"/>
    <w:rsid w:val="005229FC"/>
    <w:rsid w:val="00522E43"/>
    <w:rsid w:val="005C0D96"/>
    <w:rsid w:val="0063604A"/>
    <w:rsid w:val="006A3A32"/>
    <w:rsid w:val="006A71B6"/>
    <w:rsid w:val="007655AF"/>
    <w:rsid w:val="007856B1"/>
    <w:rsid w:val="007D5F63"/>
    <w:rsid w:val="00847308"/>
    <w:rsid w:val="008947FF"/>
    <w:rsid w:val="008B4BE7"/>
    <w:rsid w:val="008F3492"/>
    <w:rsid w:val="009071D0"/>
    <w:rsid w:val="00957CE3"/>
    <w:rsid w:val="00A642E9"/>
    <w:rsid w:val="00A95B39"/>
    <w:rsid w:val="00AB7CEC"/>
    <w:rsid w:val="00AD5507"/>
    <w:rsid w:val="00B92F19"/>
    <w:rsid w:val="00C346DC"/>
    <w:rsid w:val="00C550AD"/>
    <w:rsid w:val="00CB4DD0"/>
    <w:rsid w:val="00CC7CA7"/>
    <w:rsid w:val="00D25256"/>
    <w:rsid w:val="00DB4EC5"/>
    <w:rsid w:val="00E029C2"/>
    <w:rsid w:val="00E060EB"/>
    <w:rsid w:val="00E438D6"/>
    <w:rsid w:val="00EB5FE5"/>
    <w:rsid w:val="00F352F7"/>
    <w:rsid w:val="00F52468"/>
    <w:rsid w:val="1CBD1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234</Words>
  <Characters>1338</Characters>
  <Lines>11</Lines>
  <Paragraphs>3</Paragraphs>
  <TotalTime>0</TotalTime>
  <ScaleCrop>false</ScaleCrop>
  <LinksUpToDate>false</LinksUpToDate>
  <CharactersWithSpaces>1569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2019-09-19T11:01:00Z</dcterms:created>
  <dc:creator>aa</dc:creator>
  <cp:lastModifiedBy>DELL</cp:lastModifiedBy>
  <dcterms:modified xsi:type="dcterms:W3CDTF">2019-09-27T01:32:41Z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