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36" w:lineRule="auto"/>
        <w:ind w:right="416" w:rightChars="198"/>
        <w:jc w:val="center"/>
        <w:rPr>
          <w:rFonts w:hint="eastAsia" w:ascii="方正小标宋简体" w:hAnsi="方正小标宋简体" w:eastAsia="方正小标宋简体" w:cs="方正小标宋简体"/>
          <w:color w:val="000000"/>
          <w:spacing w:val="1"/>
          <w:kern w:val="0"/>
          <w:sz w:val="44"/>
          <w:szCs w:val="44"/>
        </w:rPr>
      </w:pPr>
      <w:bookmarkStart w:id="0" w:name="_Toc334388791"/>
      <w:bookmarkStart w:id="1" w:name="_Toc271206805"/>
      <w:r>
        <w:rPr>
          <w:rFonts w:hint="eastAsia" w:ascii="方正小标宋简体" w:hAnsi="方正小标宋简体" w:eastAsia="方正小标宋简体" w:cs="方正小标宋简体"/>
          <w:color w:val="000000"/>
          <w:spacing w:val="1"/>
          <w:kern w:val="0"/>
          <w:sz w:val="44"/>
          <w:szCs w:val="44"/>
        </w:rPr>
        <w:t>温州医科大学</w:t>
      </w:r>
      <w:r>
        <w:rPr>
          <w:rFonts w:hint="eastAsia" w:ascii="方正小标宋简体" w:hAnsi="方正小标宋简体" w:eastAsia="方正小标宋简体" w:cs="方正小标宋简体"/>
          <w:color w:val="000000"/>
          <w:spacing w:val="1"/>
          <w:kern w:val="0"/>
          <w:sz w:val="44"/>
          <w:szCs w:val="44"/>
          <w:u w:val="single"/>
        </w:rPr>
        <w:t>生物医学工程</w:t>
      </w:r>
      <w:r>
        <w:rPr>
          <w:rFonts w:hint="eastAsia" w:ascii="方正小标宋简体" w:hAnsi="方正小标宋简体" w:eastAsia="方正小标宋简体" w:cs="方正小标宋简体"/>
          <w:color w:val="000000"/>
          <w:spacing w:val="1"/>
          <w:kern w:val="0"/>
          <w:sz w:val="44"/>
          <w:szCs w:val="44"/>
        </w:rPr>
        <w:t>学术学位</w:t>
      </w:r>
    </w:p>
    <w:p>
      <w:pPr>
        <w:pStyle w:val="3"/>
        <w:spacing w:line="336" w:lineRule="auto"/>
        <w:ind w:right="416" w:rightChars="198"/>
        <w:jc w:val="center"/>
        <w:rPr>
          <w:rFonts w:ascii="方正小标宋简体" w:hAnsi="方正小标宋简体" w:eastAsia="方正小标宋简体" w:cs="方正小标宋简体"/>
          <w:color w:val="000000"/>
          <w:spacing w:val="1"/>
          <w:kern w:val="0"/>
          <w:sz w:val="44"/>
          <w:szCs w:val="44"/>
        </w:rPr>
      </w:pPr>
      <w:r>
        <w:rPr>
          <w:rFonts w:hint="eastAsia" w:ascii="方正小标宋简体" w:hAnsi="方正小标宋简体" w:eastAsia="方正小标宋简体" w:cs="方正小标宋简体"/>
          <w:color w:val="000000"/>
          <w:spacing w:val="1"/>
          <w:kern w:val="0"/>
          <w:sz w:val="44"/>
          <w:szCs w:val="44"/>
        </w:rPr>
        <w:t>博士研究生培养方案</w:t>
      </w:r>
      <w:bookmarkEnd w:id="0"/>
      <w:bookmarkEnd w:id="1"/>
    </w:p>
    <w:p>
      <w:pPr>
        <w:spacing w:line="360" w:lineRule="auto"/>
        <w:ind w:firstLine="560" w:firstLineChars="200"/>
        <w:rPr>
          <w:color w:val="000000"/>
          <w:sz w:val="28"/>
          <w:szCs w:val="28"/>
        </w:rPr>
      </w:pPr>
    </w:p>
    <w:p>
      <w:pPr>
        <w:spacing w:line="560" w:lineRule="exact"/>
        <w:ind w:firstLine="640" w:firstLineChars="200"/>
        <w:rPr>
          <w:rFonts w:hint="eastAsia" w:ascii="仿宋_GB2312" w:hAnsi="仿宋_GB2312" w:eastAsia="仿宋_GB2312" w:cs="仿宋_GB2312"/>
          <w:bCs w:val="0"/>
          <w:color w:val="000000"/>
          <w:sz w:val="32"/>
          <w:szCs w:val="32"/>
        </w:rPr>
      </w:pPr>
      <w:r>
        <w:rPr>
          <w:rFonts w:hint="eastAsia" w:ascii="仿宋_GB2312" w:hAnsi="仿宋_GB2312" w:eastAsia="仿宋_GB2312" w:cs="仿宋_GB2312"/>
          <w:color w:val="000000"/>
          <w:sz w:val="32"/>
          <w:szCs w:val="32"/>
        </w:rPr>
        <w:t>根据《中华人民共和国学位条例》、《中华人民共和国学位条例暂行实施办法》和国家教育部关于加强博士研究生培养的有关精神，结合我校《温州医科大学学术学位博士研究生培养方案总则》，制定本博士点培养方案。</w:t>
      </w:r>
    </w:p>
    <w:p>
      <w:pPr>
        <w:spacing w:line="560" w:lineRule="exact"/>
        <w:ind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rPr>
        <w:t>一、 培养目标</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博士生应掌握马克思主义的基本原理和科学方法论；拥护中华人民共和国宪法，遵守法律、法规，热爱祖国和人民，树立强烈的事业心和积极进取精神；具有与时俱进的创新意识和追求真理、献身于科学事业的敬业精神。</w:t>
      </w:r>
    </w:p>
    <w:p>
      <w:pPr>
        <w:spacing w:line="560" w:lineRule="exact"/>
        <w:ind w:firstLine="64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在生物医学工程领域上掌握坚实宽广的基础理论，在眼视光工程、生物材料、生物医学信息学、医疗器械等学科方向系统深入的学习专门知识，能独立开展上述相关领域的科学研究和研发工作，培养教学和管理能力，在所从事的研究领域做出创造性成果。</w:t>
      </w:r>
    </w:p>
    <w:p>
      <w:pPr>
        <w:spacing w:line="560" w:lineRule="exact"/>
        <w:ind w:firstLine="64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（三）熟练阅读本专业外文资料，书写外文论文，具备使用外语进行学术交流的能力；</w:t>
      </w:r>
    </w:p>
    <w:p>
      <w:pPr>
        <w:spacing w:line="560" w:lineRule="exact"/>
        <w:ind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rPr>
        <w:t>二、学习年限</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生物医学工程博士研究生基本学制三年，博士生在规定的学制时间内不能完成学业的，可以申请延长学习年限，但总学习年限不得超过八年。博士生的学习时间主要用于课程学习、科学研究、论文撰写、教学实践和学位论文工作。</w:t>
      </w:r>
    </w:p>
    <w:p>
      <w:pPr>
        <w:spacing w:line="560" w:lineRule="exact"/>
        <w:ind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rPr>
        <w:t>三、培养方式</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生物医学工程博士研究生的培养方式，实行导师责任制，采取理论学习、科学研究和实践相结合的方式；既要使博士生深入掌握坚实宽广的基础理论和系统的专门知识，又要培养博士生独立从事科学研究的能力。在课程教学上提倡方法论和创造性引导，培养研究生的自学和自主能力；在课程考核上注重综合分析和解决问题能力的测试。在指导组织形式上采取导师负责，导师组和教研室（或所在院所）集体培养相结合，充分发挥教研室、指导教师和博士生的积极性，教学相长。在保证基本要求的前提下，具体培养方法可以灵活多样。</w:t>
      </w:r>
    </w:p>
    <w:p>
      <w:pPr>
        <w:spacing w:line="560" w:lineRule="exact"/>
        <w:ind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lang w:eastAsia="zh-CN"/>
        </w:rPr>
        <w:t>四</w:t>
      </w:r>
      <w:r>
        <w:rPr>
          <w:rFonts w:hint="eastAsia" w:ascii="黑体" w:hAnsi="黑体" w:eastAsia="黑体" w:cs="黑体"/>
          <w:b w:val="0"/>
          <w:bCs/>
          <w:sz w:val="32"/>
          <w:szCs w:val="32"/>
        </w:rPr>
        <w:t>、培养内容及学分要求</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生物医学工程博士研究生毕业必须修满不少于90个学分。所修学分包括课程学习学分（10学分）、教学或工程实践学分（10学分）、开题学分（10学分）、中期考核学分(10学分)、学位论文学分（40学分）、自然科学进展研讨学分（10学分）。</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申请学位者，除获得毕业要求的学分外，另需获得发表论文学分(10学分)。</w:t>
      </w:r>
    </w:p>
    <w:p>
      <w:pPr>
        <w:spacing w:line="560" w:lineRule="exact"/>
        <w:ind w:firstLine="640" w:firstLineChars="200"/>
        <w:rPr>
          <w:rFonts w:hint="eastAsia" w:ascii="楷体_GB2312" w:hAnsi="楷体_GB2312" w:eastAsia="楷体_GB2312" w:cs="楷体_GB2312"/>
          <w:bCs/>
          <w:sz w:val="32"/>
          <w:szCs w:val="32"/>
          <w:lang w:eastAsia="zh-CN"/>
        </w:rPr>
      </w:pPr>
      <w:r>
        <w:rPr>
          <w:rFonts w:hint="eastAsia" w:ascii="楷体_GB2312" w:hAnsi="楷体_GB2312" w:eastAsia="楷体_GB2312" w:cs="楷体_GB2312"/>
          <w:b w:val="0"/>
          <w:bCs/>
          <w:sz w:val="32"/>
          <w:szCs w:val="32"/>
        </w:rPr>
        <w:t>（一）课程学习学分</w:t>
      </w: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lang w:val="en-US" w:eastAsia="zh-CN"/>
        </w:rPr>
        <w:t>10学分</w:t>
      </w:r>
      <w:r>
        <w:rPr>
          <w:rFonts w:hint="eastAsia" w:ascii="楷体_GB2312" w:hAnsi="楷体_GB2312" w:eastAsia="楷体_GB2312" w:cs="楷体_GB2312"/>
          <w:b w:val="0"/>
          <w:bCs/>
          <w:sz w:val="32"/>
          <w:szCs w:val="32"/>
          <w:lang w:eastAsia="zh-CN"/>
        </w:rPr>
        <w:t>）</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博士研究生课程分为学位课程与非学位课程，课程成绩达60分以上（含60分）为及格，申请学位者，所有课程加权平均成绩必须达75分以上（含75分）。凡课程不及格或课程加权平均成绩未达规定要求者可申请重修。</w:t>
      </w:r>
    </w:p>
    <w:p>
      <w:pPr>
        <w:spacing w:line="560" w:lineRule="exact"/>
        <w:ind w:firstLine="640" w:firstLineChars="200"/>
        <w:rPr>
          <w:rFonts w:hint="eastAsia" w:ascii="仿宋_GB2312" w:hAnsi="仿宋_GB2312" w:eastAsia="仿宋_GB2312" w:cs="仿宋_GB2312"/>
          <w:color w:val="000000"/>
          <w:sz w:val="32"/>
          <w:szCs w:val="32"/>
        </w:rPr>
      </w:pPr>
      <w:bookmarkStart w:id="2" w:name="_Hlk12002611"/>
      <w:r>
        <w:rPr>
          <w:rFonts w:hint="eastAsia" w:ascii="仿宋_GB2312" w:hAnsi="仿宋_GB2312" w:eastAsia="仿宋_GB2312" w:cs="仿宋_GB2312"/>
          <w:color w:val="000000"/>
          <w:sz w:val="32"/>
          <w:szCs w:val="32"/>
        </w:rPr>
        <w:t>加权平均成绩=C</w:t>
      </w:r>
      <w:r>
        <w:rPr>
          <w:rFonts w:hint="eastAsia" w:ascii="仿宋_GB2312" w:hAnsi="仿宋_GB2312" w:eastAsia="仿宋_GB2312" w:cs="仿宋_GB2312"/>
          <w:color w:val="000000"/>
          <w:sz w:val="32"/>
          <w:szCs w:val="32"/>
          <w:vertAlign w:val="baseline"/>
        </w:rPr>
        <w:t>1</w:t>
      </w:r>
      <w:r>
        <w:rPr>
          <w:rFonts w:hint="eastAsia" w:ascii="仿宋_GB2312" w:hAnsi="仿宋_GB2312" w:eastAsia="仿宋_GB2312" w:cs="仿宋_GB2312"/>
          <w:color w:val="000000"/>
          <w:sz w:val="32"/>
          <w:szCs w:val="32"/>
        </w:rPr>
        <w:t>*F</w:t>
      </w:r>
      <w:r>
        <w:rPr>
          <w:rFonts w:hint="eastAsia" w:ascii="仿宋_GB2312" w:hAnsi="仿宋_GB2312" w:eastAsia="仿宋_GB2312" w:cs="仿宋_GB2312"/>
          <w:color w:val="000000"/>
          <w:sz w:val="32"/>
          <w:szCs w:val="32"/>
          <w:vertAlign w:val="baseline"/>
        </w:rPr>
        <w:t>1</w:t>
      </w:r>
      <w:r>
        <w:rPr>
          <w:rFonts w:hint="eastAsia" w:ascii="仿宋_GB2312" w:hAnsi="仿宋_GB2312" w:eastAsia="仿宋_GB2312" w:cs="仿宋_GB2312"/>
          <w:color w:val="000000"/>
          <w:sz w:val="32"/>
          <w:szCs w:val="32"/>
        </w:rPr>
        <w:t>/F</w:t>
      </w:r>
      <w:r>
        <w:rPr>
          <w:rFonts w:hint="eastAsia" w:ascii="仿宋_GB2312" w:hAnsi="仿宋_GB2312" w:eastAsia="仿宋_GB2312" w:cs="仿宋_GB2312"/>
          <w:color w:val="000000"/>
          <w:sz w:val="32"/>
          <w:szCs w:val="32"/>
          <w:vertAlign w:val="baseline"/>
        </w:rPr>
        <w:t>总</w:t>
      </w:r>
      <w:r>
        <w:rPr>
          <w:rFonts w:hint="eastAsia" w:ascii="仿宋_GB2312" w:hAnsi="仿宋_GB2312" w:eastAsia="仿宋_GB2312" w:cs="仿宋_GB2312"/>
          <w:color w:val="000000"/>
          <w:sz w:val="32"/>
          <w:szCs w:val="32"/>
        </w:rPr>
        <w:t>+ C</w:t>
      </w:r>
      <w:r>
        <w:rPr>
          <w:rFonts w:hint="eastAsia" w:ascii="仿宋_GB2312" w:hAnsi="仿宋_GB2312" w:eastAsia="仿宋_GB2312" w:cs="仿宋_GB2312"/>
          <w:color w:val="000000"/>
          <w:sz w:val="32"/>
          <w:szCs w:val="32"/>
          <w:vertAlign w:val="baseline"/>
        </w:rPr>
        <w:t>2</w:t>
      </w:r>
      <w:r>
        <w:rPr>
          <w:rFonts w:hint="eastAsia" w:ascii="仿宋_GB2312" w:hAnsi="仿宋_GB2312" w:eastAsia="仿宋_GB2312" w:cs="仿宋_GB2312"/>
          <w:color w:val="000000"/>
          <w:sz w:val="32"/>
          <w:szCs w:val="32"/>
        </w:rPr>
        <w:t>*F</w:t>
      </w:r>
      <w:r>
        <w:rPr>
          <w:rFonts w:hint="eastAsia" w:ascii="仿宋_GB2312" w:hAnsi="仿宋_GB2312" w:eastAsia="仿宋_GB2312" w:cs="仿宋_GB2312"/>
          <w:color w:val="000000"/>
          <w:sz w:val="32"/>
          <w:szCs w:val="32"/>
          <w:vertAlign w:val="baseline"/>
        </w:rPr>
        <w:t>2</w:t>
      </w:r>
      <w:r>
        <w:rPr>
          <w:rFonts w:hint="eastAsia" w:ascii="仿宋_GB2312" w:hAnsi="仿宋_GB2312" w:eastAsia="仿宋_GB2312" w:cs="仿宋_GB2312"/>
          <w:color w:val="000000"/>
          <w:sz w:val="32"/>
          <w:szCs w:val="32"/>
        </w:rPr>
        <w:t>/F</w:t>
      </w:r>
      <w:r>
        <w:rPr>
          <w:rFonts w:hint="eastAsia" w:ascii="仿宋_GB2312" w:hAnsi="仿宋_GB2312" w:eastAsia="仿宋_GB2312" w:cs="仿宋_GB2312"/>
          <w:color w:val="000000"/>
          <w:sz w:val="32"/>
          <w:szCs w:val="32"/>
          <w:vertAlign w:val="baseline"/>
        </w:rPr>
        <w:t>总</w:t>
      </w:r>
      <w:r>
        <w:rPr>
          <w:rFonts w:hint="eastAsia" w:ascii="仿宋_GB2312" w:hAnsi="仿宋_GB2312" w:eastAsia="仿宋_GB2312" w:cs="仿宋_GB2312"/>
          <w:color w:val="000000"/>
          <w:sz w:val="32"/>
          <w:szCs w:val="32"/>
        </w:rPr>
        <w:t>…+C</w:t>
      </w:r>
      <w:r>
        <w:rPr>
          <w:rFonts w:hint="eastAsia" w:ascii="仿宋_GB2312" w:hAnsi="仿宋_GB2312" w:eastAsia="仿宋_GB2312" w:cs="仿宋_GB2312"/>
          <w:color w:val="000000"/>
          <w:sz w:val="32"/>
          <w:szCs w:val="32"/>
          <w:vertAlign w:val="baseline"/>
        </w:rPr>
        <w:t>n</w:t>
      </w:r>
      <w:r>
        <w:rPr>
          <w:rFonts w:hint="eastAsia" w:ascii="仿宋_GB2312" w:hAnsi="仿宋_GB2312" w:eastAsia="仿宋_GB2312" w:cs="仿宋_GB2312"/>
          <w:color w:val="000000"/>
          <w:sz w:val="32"/>
          <w:szCs w:val="32"/>
        </w:rPr>
        <w:t>*F</w:t>
      </w:r>
      <w:r>
        <w:rPr>
          <w:rFonts w:hint="eastAsia" w:ascii="仿宋_GB2312" w:hAnsi="仿宋_GB2312" w:eastAsia="仿宋_GB2312" w:cs="仿宋_GB2312"/>
          <w:color w:val="000000"/>
          <w:sz w:val="32"/>
          <w:szCs w:val="32"/>
          <w:vertAlign w:val="baseline"/>
        </w:rPr>
        <w:t>n</w:t>
      </w:r>
      <w:r>
        <w:rPr>
          <w:rFonts w:hint="eastAsia" w:ascii="仿宋_GB2312" w:hAnsi="仿宋_GB2312" w:eastAsia="仿宋_GB2312" w:cs="仿宋_GB2312"/>
          <w:color w:val="000000"/>
          <w:sz w:val="32"/>
          <w:szCs w:val="32"/>
        </w:rPr>
        <w:t>/F</w:t>
      </w:r>
      <w:r>
        <w:rPr>
          <w:rFonts w:hint="eastAsia" w:ascii="仿宋_GB2312" w:hAnsi="仿宋_GB2312" w:eastAsia="仿宋_GB2312" w:cs="仿宋_GB2312"/>
          <w:color w:val="000000"/>
          <w:sz w:val="32"/>
          <w:szCs w:val="32"/>
          <w:vertAlign w:val="baseline"/>
        </w:rPr>
        <w:t>总</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其中：C为课程成绩，F为课程学分，F</w:t>
      </w:r>
      <w:r>
        <w:rPr>
          <w:rFonts w:hint="eastAsia" w:ascii="仿宋_GB2312" w:hAnsi="仿宋_GB2312" w:eastAsia="仿宋_GB2312" w:cs="仿宋_GB2312"/>
          <w:color w:val="000000"/>
          <w:sz w:val="32"/>
          <w:szCs w:val="32"/>
          <w:vertAlign w:val="baseline"/>
        </w:rPr>
        <w:t>总</w:t>
      </w:r>
      <w:r>
        <w:rPr>
          <w:rFonts w:hint="eastAsia" w:ascii="仿宋_GB2312" w:hAnsi="仿宋_GB2312" w:eastAsia="仿宋_GB2312" w:cs="仿宋_GB2312"/>
          <w:color w:val="000000"/>
          <w:sz w:val="32"/>
          <w:szCs w:val="32"/>
        </w:rPr>
        <w:t>为总学分。</w:t>
      </w:r>
    </w:p>
    <w:bookmarkEnd w:id="2"/>
    <w:p>
      <w:pPr>
        <w:spacing w:line="360" w:lineRule="auto"/>
        <w:jc w:val="center"/>
        <w:rPr>
          <w:b/>
          <w:bCs/>
          <w:sz w:val="24"/>
          <w:szCs w:val="24"/>
        </w:rPr>
      </w:pPr>
      <w:r>
        <w:rPr>
          <w:rFonts w:hint="eastAsia"/>
          <w:b/>
          <w:bCs/>
          <w:sz w:val="24"/>
          <w:szCs w:val="24"/>
        </w:rPr>
        <w:t>附录1：生物医学工程学术学位博士生课程设置</w:t>
      </w:r>
    </w:p>
    <w:tbl>
      <w:tblPr>
        <w:tblStyle w:val="10"/>
        <w:tblW w:w="83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1440"/>
        <w:gridCol w:w="3225"/>
        <w:gridCol w:w="108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831"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类别</w:t>
            </w:r>
          </w:p>
        </w:tc>
        <w:tc>
          <w:tcPr>
            <w:tcW w:w="322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课程名称</w:t>
            </w:r>
          </w:p>
        </w:tc>
        <w:tc>
          <w:tcPr>
            <w:tcW w:w="1080" w:type="dxa"/>
            <w:tcBorders>
              <w:top w:val="single" w:color="auto" w:sz="4" w:space="0"/>
              <w:left w:val="single" w:color="auto" w:sz="4" w:space="0"/>
              <w:bottom w:val="single" w:color="auto" w:sz="4" w:space="0"/>
              <w:right w:val="single" w:color="auto" w:sz="4" w:space="0"/>
            </w:tcBorders>
          </w:tcPr>
          <w:p>
            <w:pPr>
              <w:spacing w:line="560" w:lineRule="exact"/>
              <w:jc w:val="center"/>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学分</w:t>
            </w:r>
          </w:p>
        </w:tc>
        <w:tc>
          <w:tcPr>
            <w:tcW w:w="117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学时数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391" w:type="dxa"/>
            <w:vMerge w:val="restar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公共课</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学位课</w:t>
            </w:r>
          </w:p>
        </w:tc>
        <w:tc>
          <w:tcPr>
            <w:tcW w:w="322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中国马克思主义与当代</w:t>
            </w:r>
          </w:p>
        </w:tc>
        <w:tc>
          <w:tcPr>
            <w:tcW w:w="108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117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3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rPr>
                <w:rFonts w:hint="eastAsia" w:ascii="仿宋_GB2312" w:hAnsi="仿宋_GB2312" w:eastAsia="仿宋_GB2312" w:cs="仿宋_GB2312"/>
                <w:sz w:val="28"/>
                <w:szCs w:val="28"/>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rPr>
                <w:rFonts w:hint="eastAsia" w:ascii="仿宋_GB2312" w:hAnsi="仿宋_GB2312" w:eastAsia="仿宋_GB2312" w:cs="仿宋_GB2312"/>
                <w:sz w:val="28"/>
                <w:szCs w:val="28"/>
              </w:rPr>
            </w:pPr>
          </w:p>
        </w:tc>
        <w:tc>
          <w:tcPr>
            <w:tcW w:w="322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外语（英语）</w:t>
            </w:r>
          </w:p>
        </w:tc>
        <w:tc>
          <w:tcPr>
            <w:tcW w:w="108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117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391" w:type="dxa"/>
            <w:vMerge w:val="restar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专业基础课</w:t>
            </w:r>
          </w:p>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和专业课</w:t>
            </w:r>
          </w:p>
        </w:tc>
        <w:tc>
          <w:tcPr>
            <w:tcW w:w="1440" w:type="dxa"/>
            <w:vMerge w:val="restart"/>
            <w:tcBorders>
              <w:top w:val="single" w:color="auto" w:sz="4" w:space="0"/>
              <w:left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学位课</w:t>
            </w:r>
          </w:p>
        </w:tc>
        <w:tc>
          <w:tcPr>
            <w:tcW w:w="322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kern w:val="2"/>
                <w:sz w:val="28"/>
                <w:szCs w:val="28"/>
              </w:rPr>
            </w:pPr>
            <w:r>
              <w:rPr>
                <w:rFonts w:hint="eastAsia" w:ascii="仿宋_GB2312" w:hAnsi="仿宋_GB2312" w:eastAsia="仿宋_GB2312" w:cs="仿宋_GB2312"/>
                <w:color w:val="auto"/>
                <w:sz w:val="28"/>
                <w:szCs w:val="28"/>
              </w:rPr>
              <w:t>博士生</w:t>
            </w:r>
            <w:bookmarkStart w:id="4" w:name="_GoBack"/>
            <w:bookmarkEnd w:id="4"/>
            <w:r>
              <w:rPr>
                <w:rFonts w:hint="eastAsia" w:ascii="仿宋_GB2312" w:hAnsi="仿宋_GB2312" w:eastAsia="仿宋_GB2312" w:cs="仿宋_GB2312"/>
                <w:color w:val="auto"/>
                <w:sz w:val="28"/>
                <w:szCs w:val="28"/>
              </w:rPr>
              <w:t>导论</w:t>
            </w:r>
          </w:p>
        </w:tc>
        <w:tc>
          <w:tcPr>
            <w:tcW w:w="108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117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3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rPr>
                <w:rFonts w:hint="eastAsia" w:ascii="仿宋_GB2312" w:hAnsi="仿宋_GB2312" w:eastAsia="仿宋_GB2312" w:cs="仿宋_GB2312"/>
                <w:sz w:val="28"/>
                <w:szCs w:val="28"/>
              </w:rPr>
            </w:pPr>
          </w:p>
        </w:tc>
        <w:tc>
          <w:tcPr>
            <w:tcW w:w="1440" w:type="dxa"/>
            <w:vMerge w:val="continue"/>
            <w:tcBorders>
              <w:left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c>
          <w:tcPr>
            <w:tcW w:w="322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专业课</w:t>
            </w:r>
          </w:p>
        </w:tc>
        <w:tc>
          <w:tcPr>
            <w:tcW w:w="108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117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3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rPr>
                <w:rFonts w:hint="eastAsia" w:ascii="仿宋_GB2312" w:hAnsi="仿宋_GB2312" w:eastAsia="仿宋_GB2312" w:cs="仿宋_GB2312"/>
                <w:sz w:val="28"/>
                <w:szCs w:val="28"/>
              </w:rPr>
            </w:pPr>
          </w:p>
        </w:tc>
        <w:tc>
          <w:tcPr>
            <w:tcW w:w="1440" w:type="dxa"/>
            <w:tcBorders>
              <w:left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highlight w:val="none"/>
              </w:rPr>
              <w:t>非学位课</w:t>
            </w:r>
          </w:p>
        </w:tc>
        <w:tc>
          <w:tcPr>
            <w:tcW w:w="3225" w:type="dxa"/>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医学科研设计与方法</w:t>
            </w:r>
          </w:p>
        </w:tc>
        <w:tc>
          <w:tcPr>
            <w:tcW w:w="108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117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32</w:t>
            </w:r>
          </w:p>
        </w:tc>
      </w:tr>
    </w:tbl>
    <w:p>
      <w:pPr>
        <w:widowControl/>
        <w:spacing w:line="560" w:lineRule="exact"/>
        <w:ind w:firstLine="640" w:firstLineChars="200"/>
        <w:jc w:val="left"/>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sz w:val="32"/>
          <w:szCs w:val="32"/>
        </w:rPr>
        <w:t>课程考核方式可以是笔试开卷、笔试闭卷、笔试和口试相结合、课程论文等；成绩评定可以采用百分制或者等级制（A+，A，A-，B+，B，B-，C+，C，C-，D）。</w:t>
      </w:r>
      <w:r>
        <w:rPr>
          <w:rFonts w:hint="eastAsia" w:ascii="仿宋_GB2312" w:hAnsi="仿宋_GB2312" w:eastAsia="仿宋_GB2312" w:cs="仿宋_GB2312"/>
          <w:color w:val="000000"/>
          <w:kern w:val="2"/>
          <w:sz w:val="32"/>
          <w:szCs w:val="32"/>
        </w:rPr>
        <w:t>考核不合格（成绩在59分以下或为D）的课程须在下一次开课时重修。</w:t>
      </w:r>
      <w:r>
        <w:rPr>
          <w:rFonts w:hint="eastAsia" w:ascii="仿宋_GB2312" w:hAnsi="仿宋_GB2312" w:eastAsia="仿宋_GB2312" w:cs="仿宋_GB2312"/>
          <w:color w:val="000000"/>
          <w:sz w:val="32"/>
          <w:szCs w:val="32"/>
        </w:rPr>
        <w:t>考核成绩与绩点的对应关系如下表。加权平均绩点（GPA）为研究生课程绩点乘以学分的累加除以总学分，是研究生参与评优评奖的一项指标。</w:t>
      </w:r>
    </w:p>
    <w:p>
      <w:pPr>
        <w:widowControl/>
        <w:spacing w:line="360" w:lineRule="auto"/>
        <w:jc w:val="center"/>
        <w:rPr>
          <w:rFonts w:hint="eastAsia" w:ascii="Times New Roman" w:hAnsi="Times New Roman" w:eastAsia="宋体" w:cs="Times New Roman"/>
          <w:b/>
          <w:bCs/>
          <w:kern w:val="2"/>
          <w:sz w:val="24"/>
          <w:szCs w:val="24"/>
        </w:rPr>
      </w:pPr>
      <w:r>
        <w:rPr>
          <w:rFonts w:hint="eastAsia" w:ascii="Times New Roman" w:hAnsi="Times New Roman" w:eastAsia="宋体" w:cs="Times New Roman"/>
          <w:b/>
          <w:bCs/>
          <w:kern w:val="2"/>
          <w:sz w:val="24"/>
          <w:szCs w:val="24"/>
        </w:rPr>
        <w:t>研究生课程考核成绩与绩点对应关系</w:t>
      </w:r>
    </w:p>
    <w:tbl>
      <w:tblPr>
        <w:tblStyle w:val="10"/>
        <w:tblW w:w="8522"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66"/>
        <w:gridCol w:w="1075"/>
        <w:gridCol w:w="1248"/>
        <w:gridCol w:w="1248"/>
        <w:gridCol w:w="1421"/>
        <w:gridCol w:w="1248"/>
        <w:gridCol w:w="111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166"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百分制</w:t>
            </w:r>
          </w:p>
        </w:tc>
        <w:tc>
          <w:tcPr>
            <w:tcW w:w="1075"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100-90</w:t>
            </w:r>
          </w:p>
        </w:tc>
        <w:tc>
          <w:tcPr>
            <w:tcW w:w="1248"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89-85</w:t>
            </w:r>
          </w:p>
        </w:tc>
        <w:tc>
          <w:tcPr>
            <w:tcW w:w="1248"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84-82</w:t>
            </w:r>
          </w:p>
        </w:tc>
        <w:tc>
          <w:tcPr>
            <w:tcW w:w="1421"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81-78</w:t>
            </w:r>
          </w:p>
        </w:tc>
        <w:tc>
          <w:tcPr>
            <w:tcW w:w="1248"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77-75</w:t>
            </w:r>
          </w:p>
        </w:tc>
        <w:tc>
          <w:tcPr>
            <w:tcW w:w="1116"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74-72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166"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等级制</w:t>
            </w:r>
          </w:p>
        </w:tc>
        <w:tc>
          <w:tcPr>
            <w:tcW w:w="1075"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A+</w:t>
            </w:r>
          </w:p>
        </w:tc>
        <w:tc>
          <w:tcPr>
            <w:tcW w:w="1248"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A</w:t>
            </w:r>
          </w:p>
        </w:tc>
        <w:tc>
          <w:tcPr>
            <w:tcW w:w="1248"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A-</w:t>
            </w:r>
          </w:p>
        </w:tc>
        <w:tc>
          <w:tcPr>
            <w:tcW w:w="1421"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B+</w:t>
            </w:r>
          </w:p>
        </w:tc>
        <w:tc>
          <w:tcPr>
            <w:tcW w:w="1248"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B</w:t>
            </w:r>
          </w:p>
        </w:tc>
        <w:tc>
          <w:tcPr>
            <w:tcW w:w="1116"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B-</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166"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绩点</w:t>
            </w:r>
          </w:p>
        </w:tc>
        <w:tc>
          <w:tcPr>
            <w:tcW w:w="1075"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w:t>
            </w:r>
          </w:p>
        </w:tc>
        <w:tc>
          <w:tcPr>
            <w:tcW w:w="1248"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3.7</w:t>
            </w:r>
          </w:p>
        </w:tc>
        <w:tc>
          <w:tcPr>
            <w:tcW w:w="1248"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3.3</w:t>
            </w:r>
          </w:p>
        </w:tc>
        <w:tc>
          <w:tcPr>
            <w:tcW w:w="1421"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3.0</w:t>
            </w:r>
          </w:p>
        </w:tc>
        <w:tc>
          <w:tcPr>
            <w:tcW w:w="1248"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2.7</w:t>
            </w:r>
          </w:p>
        </w:tc>
        <w:tc>
          <w:tcPr>
            <w:tcW w:w="1116"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166"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百分制</w:t>
            </w:r>
          </w:p>
        </w:tc>
        <w:tc>
          <w:tcPr>
            <w:tcW w:w="1075"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71-68</w:t>
            </w:r>
          </w:p>
        </w:tc>
        <w:tc>
          <w:tcPr>
            <w:tcW w:w="1248"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67-63</w:t>
            </w:r>
          </w:p>
        </w:tc>
        <w:tc>
          <w:tcPr>
            <w:tcW w:w="1248"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62-60</w:t>
            </w:r>
          </w:p>
        </w:tc>
        <w:tc>
          <w:tcPr>
            <w:tcW w:w="1421"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59-0</w:t>
            </w:r>
          </w:p>
        </w:tc>
        <w:tc>
          <w:tcPr>
            <w:tcW w:w="1248"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重修</w:t>
            </w:r>
          </w:p>
        </w:tc>
        <w:tc>
          <w:tcPr>
            <w:tcW w:w="1116"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166"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等级制</w:t>
            </w:r>
          </w:p>
        </w:tc>
        <w:tc>
          <w:tcPr>
            <w:tcW w:w="1075"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C+</w:t>
            </w:r>
          </w:p>
        </w:tc>
        <w:tc>
          <w:tcPr>
            <w:tcW w:w="1248"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C</w:t>
            </w:r>
          </w:p>
        </w:tc>
        <w:tc>
          <w:tcPr>
            <w:tcW w:w="1248"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C-</w:t>
            </w:r>
          </w:p>
        </w:tc>
        <w:tc>
          <w:tcPr>
            <w:tcW w:w="1421"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D</w:t>
            </w:r>
          </w:p>
        </w:tc>
        <w:tc>
          <w:tcPr>
            <w:tcW w:w="1248"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C-</w:t>
            </w:r>
          </w:p>
        </w:tc>
        <w:tc>
          <w:tcPr>
            <w:tcW w:w="1116"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166"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绩点</w:t>
            </w:r>
          </w:p>
        </w:tc>
        <w:tc>
          <w:tcPr>
            <w:tcW w:w="1075"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2.0</w:t>
            </w:r>
          </w:p>
        </w:tc>
        <w:tc>
          <w:tcPr>
            <w:tcW w:w="1248"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1.5</w:t>
            </w:r>
          </w:p>
        </w:tc>
        <w:tc>
          <w:tcPr>
            <w:tcW w:w="1248"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w:t>
            </w:r>
          </w:p>
        </w:tc>
        <w:tc>
          <w:tcPr>
            <w:tcW w:w="1421"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w:t>
            </w:r>
          </w:p>
        </w:tc>
        <w:tc>
          <w:tcPr>
            <w:tcW w:w="1248"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w:t>
            </w:r>
          </w:p>
        </w:tc>
        <w:tc>
          <w:tcPr>
            <w:tcW w:w="1116"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r>
    </w:tbl>
    <w:p>
      <w:pPr>
        <w:adjustRightInd/>
        <w:snapToGrid/>
        <w:spacing w:line="560" w:lineRule="exact"/>
        <w:ind w:firstLine="640" w:firstLineChars="200"/>
        <w:jc w:val="both"/>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（二）教学或工程实践学分</w:t>
      </w:r>
    </w:p>
    <w:p>
      <w:pPr>
        <w:widowControl/>
        <w:spacing w:line="560" w:lineRule="exact"/>
        <w:ind w:firstLine="640" w:firstLineChars="200"/>
        <w:jc w:val="left"/>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学术学位博士研究生完成理论课程学习后，在导师指导下参与教学实践、工程实践，获10学分。</w:t>
      </w:r>
    </w:p>
    <w:p>
      <w:pPr>
        <w:spacing w:line="560" w:lineRule="exact"/>
        <w:ind w:firstLine="640" w:firstLineChars="200"/>
        <w:jc w:val="both"/>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（三）开题学分：开题通过者计10学分。</w:t>
      </w:r>
    </w:p>
    <w:p>
      <w:pPr>
        <w:widowControl/>
        <w:spacing w:line="560" w:lineRule="exact"/>
        <w:ind w:firstLine="640" w:firstLineChars="2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导师指导研究生，通过查阅分析有关文献资料、调查及预实验研究等，进行论文选题。并于第二学期指导研究生作公开的开题报告，报告其选题依据和研究工作计划；开题报告会由具有高级职称的专家3-5人组成，与会者应对选题的先进性、科研设计的严密性和可行性、方法和指标选择的科学性等进行评价，提出意见。开题报告必须有详细记录。开题报告后，导师应督促硕士生填写《温州医科大学研究生学位论文开题报告登记表》，并在与会者所提意见的基础上修改完善课题研究计划。</w:t>
      </w:r>
    </w:p>
    <w:p>
      <w:pPr>
        <w:spacing w:line="560" w:lineRule="exact"/>
        <w:ind w:firstLine="640" w:firstLineChars="200"/>
        <w:jc w:val="both"/>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（四）中期考核学分：中期考核合格计10学分。</w:t>
      </w:r>
    </w:p>
    <w:p>
      <w:pPr>
        <w:widowControl/>
        <w:spacing w:line="560" w:lineRule="exact"/>
        <w:ind w:firstLine="640" w:firstLineChars="2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中期考核是在研究生学习一段时间后，对其政治思想表现、学习和实践情况、科研能力等方面进行的一次综合考核和评定。其目的是评价研究生入学以来的学习成效，及时发现和纠正研究生培养过程中存在的问题；对少数不宜继续攻读硕士学位者尽早做出妥善处理。</w:t>
      </w:r>
    </w:p>
    <w:p>
      <w:pPr>
        <w:widowControl/>
        <w:spacing w:line="560" w:lineRule="exact"/>
        <w:ind w:firstLine="640" w:firstLineChars="2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考核时间：中期考核时间定于第三学期</w:t>
      </w:r>
      <w:r>
        <w:rPr>
          <w:rFonts w:hint="eastAsia" w:ascii="仿宋_GB2312" w:hAnsi="仿宋_GB2312" w:eastAsia="仿宋_GB2312" w:cs="仿宋_GB2312"/>
          <w:color w:val="000000"/>
          <w:sz w:val="32"/>
          <w:szCs w:val="32"/>
          <w:lang w:eastAsia="zh-CN"/>
        </w:rPr>
        <w:t>进行</w:t>
      </w:r>
      <w:r>
        <w:rPr>
          <w:rFonts w:hint="eastAsia" w:ascii="仿宋_GB2312" w:hAnsi="仿宋_GB2312" w:eastAsia="仿宋_GB2312" w:cs="仿宋_GB2312"/>
          <w:color w:val="000000"/>
          <w:sz w:val="32"/>
          <w:szCs w:val="32"/>
        </w:rPr>
        <w:t>。</w:t>
      </w:r>
    </w:p>
    <w:p>
      <w:pPr>
        <w:widowControl/>
        <w:spacing w:line="560" w:lineRule="exact"/>
        <w:ind w:firstLine="640" w:firstLineChars="200"/>
        <w:jc w:val="left"/>
        <w:rPr>
          <w:rFonts w:hint="eastAsia" w:ascii="仿宋_GB2312" w:hAnsi="仿宋_GB2312" w:eastAsia="仿宋_GB2312" w:cs="仿宋_GB2312"/>
          <w:color w:val="000000"/>
          <w:spacing w:val="0"/>
          <w:sz w:val="32"/>
          <w:szCs w:val="32"/>
        </w:rPr>
      </w:pPr>
      <w:r>
        <w:rPr>
          <w:rFonts w:hint="eastAsia"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pacing w:val="0"/>
          <w:sz w:val="32"/>
          <w:szCs w:val="32"/>
        </w:rPr>
        <w:t>考核内容：主要考核课程学习、工程实践、科研工作进展的阶段情况，取得的成果和存在的问题。</w:t>
      </w:r>
    </w:p>
    <w:p>
      <w:pPr>
        <w:widowControl/>
        <w:spacing w:line="560" w:lineRule="exact"/>
        <w:ind w:firstLine="640" w:firstLineChars="2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考核小组组成：一般由3-5名具有高级技术职称的专家组成。</w:t>
      </w:r>
    </w:p>
    <w:p>
      <w:pPr>
        <w:widowControl/>
        <w:spacing w:line="560" w:lineRule="exact"/>
        <w:ind w:firstLine="640" w:firstLineChars="200"/>
        <w:jc w:val="left"/>
        <w:rPr>
          <w:rFonts w:hint="eastAsia" w:ascii="仿宋_GB2312" w:hAnsi="仿宋_GB2312" w:eastAsia="仿宋_GB2312" w:cs="仿宋_GB2312"/>
          <w:bCs w:val="0"/>
          <w:color w:val="000000"/>
          <w:sz w:val="32"/>
          <w:szCs w:val="32"/>
        </w:rPr>
      </w:pPr>
      <w:r>
        <w:rPr>
          <w:rFonts w:hint="eastAsia"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考核结果处理：中期考核不合格者，可在6个月内补考核一次，考核合格后方可进入下一轮培养环节。</w:t>
      </w:r>
    </w:p>
    <w:p>
      <w:pPr>
        <w:adjustRightInd/>
        <w:snapToGrid/>
        <w:spacing w:line="560" w:lineRule="exact"/>
        <w:ind w:firstLine="640" w:firstLineChars="200"/>
        <w:jc w:val="both"/>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（五）学位论文学分</w:t>
      </w:r>
    </w:p>
    <w:p>
      <w:pPr>
        <w:widowControl/>
        <w:adjustRightInd/>
        <w:snapToGrid/>
        <w:spacing w:line="560" w:lineRule="exact"/>
        <w:ind w:firstLine="640" w:firstLineChars="200"/>
        <w:jc w:val="left"/>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bCs w:val="0"/>
          <w:color w:val="000000"/>
          <w:sz w:val="32"/>
          <w:szCs w:val="32"/>
        </w:rPr>
        <w:t>撰写学位论文须遵循《温州医科大学学术学位研究生学位论文基本要求》和所在学院的规定；</w:t>
      </w:r>
      <w:r>
        <w:rPr>
          <w:rFonts w:hint="eastAsia" w:ascii="仿宋_GB2312" w:hAnsi="仿宋_GB2312" w:eastAsia="仿宋_GB2312" w:cs="仿宋_GB2312"/>
          <w:color w:val="000000"/>
          <w:sz w:val="32"/>
          <w:szCs w:val="32"/>
        </w:rPr>
        <w:t>论文需通过学校组织的论文评阅及答辩</w:t>
      </w:r>
      <w:r>
        <w:rPr>
          <w:rFonts w:hint="eastAsia" w:ascii="仿宋_GB2312" w:hAnsi="仿宋_GB2312" w:eastAsia="仿宋_GB2312" w:cs="仿宋_GB2312"/>
          <w:color w:val="000000"/>
          <w:kern w:val="2"/>
          <w:sz w:val="32"/>
          <w:szCs w:val="32"/>
        </w:rPr>
        <w:t>，获40学分。</w:t>
      </w:r>
    </w:p>
    <w:p>
      <w:pPr>
        <w:adjustRightInd/>
        <w:snapToGrid/>
        <w:spacing w:line="560" w:lineRule="exact"/>
        <w:ind w:firstLine="640" w:firstLineChars="200"/>
        <w:jc w:val="both"/>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（六）自然科学进展研讨学分（10学分）</w:t>
      </w:r>
    </w:p>
    <w:p>
      <w:pPr>
        <w:widowControl/>
        <w:spacing w:line="560" w:lineRule="exact"/>
        <w:ind w:firstLine="640" w:firstLineChars="200"/>
        <w:jc w:val="left"/>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sz w:val="32"/>
          <w:szCs w:val="32"/>
        </w:rPr>
        <w:t>博士生必须参加专题讲座、学术报告和研究生论坛，了解本学科和相关学科（方向）的前沿论题、发展动态，博士生在学期间须参加不少于10次的学术讲座；须围绕特定研究主题，主讲4次学术报告，</w:t>
      </w:r>
      <w:r>
        <w:rPr>
          <w:rFonts w:hint="eastAsia" w:ascii="仿宋_GB2312" w:hAnsi="仿宋_GB2312" w:eastAsia="仿宋_GB2312" w:cs="仿宋_GB2312"/>
          <w:color w:val="000000"/>
          <w:kern w:val="2"/>
          <w:sz w:val="32"/>
          <w:szCs w:val="32"/>
        </w:rPr>
        <w:t>各学科方向可根据情况确定报告的具体要求。</w:t>
      </w:r>
    </w:p>
    <w:p>
      <w:pPr>
        <w:adjustRightInd/>
        <w:snapToGrid/>
        <w:spacing w:line="560" w:lineRule="exact"/>
        <w:ind w:firstLine="640" w:firstLineChars="200"/>
        <w:jc w:val="both"/>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 xml:space="preserve">（七）发表学位论文学分 </w:t>
      </w:r>
    </w:p>
    <w:p>
      <w:pPr>
        <w:widowControl/>
        <w:spacing w:line="560" w:lineRule="exact"/>
        <w:ind w:firstLine="640" w:firstLineChars="2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2"/>
          <w:sz w:val="32"/>
          <w:szCs w:val="32"/>
        </w:rPr>
        <w:t>学术学位博士研究生发表符合规定的论文获10学分。发表文章要求见《温州医科大学关于研究生申请学位发表论文的规定》。</w:t>
      </w:r>
    </w:p>
    <w:p>
      <w:pPr>
        <w:spacing w:line="560" w:lineRule="exact"/>
        <w:ind w:firstLine="640" w:firstLineChars="200"/>
        <w:jc w:val="both"/>
        <w:rPr>
          <w:rFonts w:hint="eastAsia" w:ascii="黑体" w:hAnsi="黑体" w:eastAsia="黑体" w:cs="黑体"/>
          <w:b w:val="0"/>
          <w:bCs/>
          <w:sz w:val="32"/>
          <w:szCs w:val="32"/>
        </w:rPr>
      </w:pPr>
      <w:r>
        <w:rPr>
          <w:rFonts w:hint="eastAsia" w:ascii="黑体" w:hAnsi="黑体" w:eastAsia="黑体" w:cs="黑体"/>
          <w:b w:val="0"/>
          <w:bCs/>
          <w:sz w:val="32"/>
          <w:szCs w:val="32"/>
        </w:rPr>
        <w:t>五、培养计划的制定</w:t>
      </w:r>
    </w:p>
    <w:p>
      <w:pPr>
        <w:widowControl/>
        <w:spacing w:line="560" w:lineRule="exact"/>
        <w:ind w:firstLine="640" w:firstLineChars="2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培养计划是博士生入学后由导师根据培养方案、本课题组研究方向并结合博士生的个人特点制定的。培养计划应对课程学习、文献阅读、科学研究、学位论文工作的预期目标及进度、教学或工程实践等作出安排，明确导师小组成员名单及分工。培养计划经所在学院、研究生院审批后执行。</w:t>
      </w:r>
    </w:p>
    <w:p>
      <w:pPr>
        <w:spacing w:line="560" w:lineRule="exact"/>
        <w:ind w:firstLine="640" w:firstLineChars="200"/>
        <w:jc w:val="both"/>
        <w:rPr>
          <w:rFonts w:hint="eastAsia" w:ascii="黑体" w:hAnsi="黑体" w:eastAsia="黑体" w:cs="黑体"/>
          <w:b w:val="0"/>
          <w:bCs/>
          <w:sz w:val="32"/>
          <w:szCs w:val="32"/>
        </w:rPr>
      </w:pPr>
      <w:r>
        <w:rPr>
          <w:rFonts w:hint="eastAsia" w:ascii="黑体" w:hAnsi="黑体" w:eastAsia="黑体" w:cs="黑体"/>
          <w:b w:val="0"/>
          <w:bCs/>
          <w:sz w:val="32"/>
          <w:szCs w:val="32"/>
        </w:rPr>
        <w:t>六、学位论文工作</w:t>
      </w:r>
    </w:p>
    <w:p>
      <w:pPr>
        <w:widowControl/>
        <w:spacing w:line="560" w:lineRule="exact"/>
        <w:ind w:firstLine="640" w:firstLineChars="2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b w:val="0"/>
          <w:bCs w:val="0"/>
          <w:color w:val="000000"/>
          <w:sz w:val="32"/>
          <w:szCs w:val="32"/>
        </w:rPr>
        <w:t>（一）总体要求：</w:t>
      </w:r>
      <w:r>
        <w:rPr>
          <w:rFonts w:hint="eastAsia" w:ascii="仿宋_GB2312" w:hAnsi="仿宋_GB2312" w:eastAsia="仿宋_GB2312" w:cs="仿宋_GB2312"/>
          <w:color w:val="000000"/>
          <w:sz w:val="32"/>
          <w:szCs w:val="32"/>
        </w:rPr>
        <w:t>博士生在学位论文工作中必须具有严谨的治学态度和良好的科学作风。博士学位论文应体现作者具有独立从事科学研究工作的能力，应在本学科方向作出创造性成果，具有重要的应用价值和理论意义，应能反映作者在本学科方向掌握了坚实宽广的基础理论与深入系统的专门知识。</w:t>
      </w:r>
    </w:p>
    <w:p>
      <w:pPr>
        <w:widowControl/>
        <w:spacing w:line="560" w:lineRule="exact"/>
        <w:ind w:firstLine="640" w:firstLineChars="2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b w:val="0"/>
          <w:bCs w:val="0"/>
          <w:color w:val="000000"/>
          <w:sz w:val="32"/>
          <w:szCs w:val="32"/>
        </w:rPr>
        <w:t>（二）加强过程管理：</w:t>
      </w:r>
      <w:r>
        <w:rPr>
          <w:rFonts w:hint="eastAsia" w:ascii="仿宋_GB2312" w:hAnsi="仿宋_GB2312" w:eastAsia="仿宋_GB2312" w:cs="仿宋_GB2312"/>
          <w:color w:val="000000"/>
          <w:sz w:val="32"/>
          <w:szCs w:val="32"/>
        </w:rPr>
        <w:t>为保证学位论文质量，加强科研训练的过程管理，严格执行开题、中期及课题结束报告制度。在科研训练中，各二级学院研究生管理部门、科室（课题组）、导师从以下几个方面把关，每一项均应有完整的书面记录。</w:t>
      </w:r>
    </w:p>
    <w:p>
      <w:pPr>
        <w:widowControl/>
        <w:spacing w:line="560" w:lineRule="exact"/>
        <w:ind w:firstLine="640" w:firstLineChars="200"/>
        <w:jc w:val="left"/>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1．选题调研</w:t>
      </w:r>
    </w:p>
    <w:p>
      <w:pPr>
        <w:widowControl/>
        <w:spacing w:line="560" w:lineRule="exact"/>
        <w:ind w:firstLine="640" w:firstLineChars="200"/>
        <w:jc w:val="left"/>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博士生入学后，在导师指导下确定研究方向，收集文献资料，进行调查研究，确定研究课题。</w:t>
      </w:r>
    </w:p>
    <w:p>
      <w:pPr>
        <w:widowControl/>
        <w:spacing w:line="560" w:lineRule="exact"/>
        <w:ind w:firstLine="640" w:firstLineChars="200"/>
        <w:jc w:val="left"/>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2．开题报告</w:t>
      </w:r>
    </w:p>
    <w:p>
      <w:pPr>
        <w:widowControl/>
        <w:spacing w:line="560" w:lineRule="exact"/>
        <w:ind w:firstLine="640" w:firstLineChars="200"/>
        <w:jc w:val="left"/>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博士生确定研究课题后，撰写文献综述，第一学年内在</w:t>
      </w:r>
      <w:r>
        <w:rPr>
          <w:rFonts w:hint="eastAsia" w:ascii="仿宋_GB2312" w:hAnsi="仿宋_GB2312" w:eastAsia="仿宋_GB2312" w:cs="仿宋_GB2312"/>
          <w:color w:val="000000"/>
          <w:kern w:val="2"/>
          <w:sz w:val="32"/>
          <w:szCs w:val="32"/>
          <w:lang w:eastAsia="zh-CN"/>
        </w:rPr>
        <w:t>所在学院</w:t>
      </w:r>
      <w:r>
        <w:rPr>
          <w:rFonts w:hint="eastAsia" w:ascii="仿宋_GB2312" w:hAnsi="仿宋_GB2312" w:eastAsia="仿宋_GB2312" w:cs="仿宋_GB2312"/>
          <w:color w:val="000000"/>
          <w:kern w:val="2"/>
          <w:sz w:val="32"/>
          <w:szCs w:val="32"/>
        </w:rPr>
        <w:t>进行开题报告。开题报告包括选题依据、背景、课题研究计划等内容。与会者对选题的先进性、科研设计的严密性、方法及指标遴选的科学性进行评议。研究生听取意见后，进一步补充修改。进行开题报告时应有详细记录，并填写相应表格。</w:t>
      </w:r>
    </w:p>
    <w:p>
      <w:pPr>
        <w:widowControl/>
        <w:spacing w:line="560" w:lineRule="exact"/>
        <w:ind w:firstLine="640" w:firstLineChars="200"/>
        <w:jc w:val="left"/>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3．科研训练的阶段性检查</w:t>
      </w:r>
    </w:p>
    <w:p>
      <w:pPr>
        <w:widowControl/>
        <w:spacing w:line="560" w:lineRule="exact"/>
        <w:ind w:firstLine="640" w:firstLineChars="200"/>
        <w:jc w:val="left"/>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导师应督促和指导研究生向导师组定期汇报课题工作情况、存在问题及下一步计划等。与会者提出相应意见或建议，利于论文研究工作顺利进行。</w:t>
      </w:r>
    </w:p>
    <w:p>
      <w:pPr>
        <w:widowControl/>
        <w:spacing w:line="560" w:lineRule="exact"/>
        <w:ind w:firstLine="640" w:firstLineChars="200"/>
        <w:jc w:val="left"/>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4．科研训练结束报告</w:t>
      </w:r>
    </w:p>
    <w:p>
      <w:pPr>
        <w:widowControl/>
        <w:spacing w:line="560" w:lineRule="exact"/>
        <w:ind w:firstLine="640" w:firstLineChars="200"/>
        <w:jc w:val="left"/>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课题工作完成、撰写论文之前，汇报本课题完成的基本情况。与会者对本课题研究结果的可靠性、完整性、科学性进行评议，提出是否需要进一步补充与完善等意见，对论文的撰写等提出建议，保证论文的质量。</w:t>
      </w:r>
    </w:p>
    <w:p>
      <w:pPr>
        <w:widowControl/>
        <w:spacing w:line="560" w:lineRule="exact"/>
        <w:ind w:firstLine="640" w:firstLineChars="200"/>
        <w:jc w:val="left"/>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（三）学位论文评阅、预答辩和答辩工作</w:t>
      </w:r>
    </w:p>
    <w:p>
      <w:pPr>
        <w:widowControl/>
        <w:spacing w:line="560" w:lineRule="exact"/>
        <w:ind w:firstLine="640" w:firstLineChars="200"/>
        <w:jc w:val="left"/>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学位论文应在导师指导下，由博士生本人独立完成。如果博士生学习阶段的科研工作系本人在硕士学位学习阶段科研工作的继续和深入，其硕士学位论文的成果可在博士学位论文中引用，但在博士阶段要有创造性成果。</w:t>
      </w:r>
    </w:p>
    <w:p>
      <w:pPr>
        <w:widowControl/>
        <w:spacing w:line="560" w:lineRule="exact"/>
        <w:ind w:firstLine="640" w:firstLineChars="200"/>
        <w:jc w:val="left"/>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博士学位论文是一部（或由一组论文组成）系统的完整的学术论文。论文要求</w:t>
      </w:r>
      <w:r>
        <w:rPr>
          <w:rFonts w:hint="eastAsia" w:ascii="仿宋_GB2312" w:hAnsi="仿宋_GB2312" w:eastAsia="仿宋_GB2312" w:cs="仿宋_GB2312"/>
          <w:color w:val="000000"/>
          <w:sz w:val="32"/>
          <w:szCs w:val="32"/>
        </w:rPr>
        <w:t>立论正确、结构和内容完整、分析严谨、计算无误、统计处理可靠、行文精练、图表制作规范</w:t>
      </w:r>
      <w:r>
        <w:rPr>
          <w:rFonts w:hint="eastAsia" w:ascii="仿宋_GB2312" w:hAnsi="仿宋_GB2312" w:eastAsia="仿宋_GB2312" w:cs="仿宋_GB2312"/>
          <w:color w:val="000000"/>
          <w:kern w:val="2"/>
          <w:sz w:val="32"/>
          <w:szCs w:val="32"/>
        </w:rPr>
        <w:t>。论文初稿交导师和导师组审改后，博士生对论文初稿进行修改和补充，最后由导师正式审定完稿，提交评阅。</w:t>
      </w:r>
    </w:p>
    <w:p>
      <w:pPr>
        <w:widowControl/>
        <w:spacing w:line="560" w:lineRule="exact"/>
        <w:ind w:firstLine="640" w:firstLineChars="200"/>
        <w:jc w:val="left"/>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博士生完成论文工作，并完成培养方案规定的课程及培养的各个环节，方可申请学位论文评阅。学位论文评阅由学校研究生院组织，一年两次</w:t>
      </w:r>
      <w:r>
        <w:rPr>
          <w:rFonts w:hint="eastAsia" w:ascii="仿宋_GB2312" w:hAnsi="仿宋_GB2312" w:eastAsia="仿宋_GB2312" w:cs="仿宋_GB2312"/>
          <w:color w:val="000000"/>
          <w:kern w:val="2"/>
          <w:sz w:val="32"/>
          <w:szCs w:val="32"/>
          <w:lang w:eastAsia="zh-CN"/>
        </w:rPr>
        <w:t>。</w:t>
      </w:r>
      <w:r>
        <w:rPr>
          <w:rFonts w:hint="eastAsia" w:ascii="仿宋_GB2312" w:hAnsi="仿宋_GB2312" w:eastAsia="仿宋_GB2312" w:cs="仿宋_GB2312"/>
          <w:color w:val="000000"/>
          <w:kern w:val="2"/>
          <w:sz w:val="32"/>
          <w:szCs w:val="32"/>
        </w:rPr>
        <w:t>学位论文通过评阅后，由导师和导师组安排预答辩。通过预答辩后，方可申请答辩。学位论文的答辩工作由导师所在院系组织。</w:t>
      </w:r>
    </w:p>
    <w:p>
      <w:pPr>
        <w:spacing w:line="560" w:lineRule="exact"/>
        <w:ind w:firstLine="640" w:firstLineChars="200"/>
        <w:jc w:val="both"/>
        <w:rPr>
          <w:rFonts w:hint="eastAsia" w:ascii="仿宋_GB2312" w:hAnsi="仿宋_GB2312" w:eastAsia="仿宋_GB2312" w:cs="仿宋_GB2312"/>
          <w:color w:val="000000"/>
          <w:kern w:val="2"/>
          <w:sz w:val="32"/>
          <w:szCs w:val="32"/>
        </w:rPr>
      </w:pPr>
      <w:bookmarkStart w:id="3" w:name="_Hlk12004208"/>
      <w:r>
        <w:rPr>
          <w:rFonts w:hint="eastAsia" w:ascii="仿宋_GB2312" w:hAnsi="仿宋_GB2312" w:eastAsia="仿宋_GB2312" w:cs="仿宋_GB2312"/>
          <w:color w:val="000000"/>
          <w:sz w:val="32"/>
          <w:szCs w:val="32"/>
        </w:rPr>
        <w:t>学位论文评阅、预答辩和答辩工作</w:t>
      </w:r>
      <w:r>
        <w:rPr>
          <w:rFonts w:hint="eastAsia" w:ascii="仿宋_GB2312" w:hAnsi="仿宋_GB2312" w:eastAsia="仿宋_GB2312" w:cs="仿宋_GB2312"/>
          <w:color w:val="000000"/>
          <w:kern w:val="2"/>
          <w:sz w:val="32"/>
          <w:szCs w:val="32"/>
        </w:rPr>
        <w:t>遵照《温州医科大学博士学位论文评阅和答辩的管理办法》实施。</w:t>
      </w:r>
    </w:p>
    <w:bookmarkEnd w:id="3"/>
    <w:p>
      <w:pPr>
        <w:spacing w:line="560" w:lineRule="exact"/>
        <w:ind w:firstLine="640" w:firstLineChars="200"/>
        <w:jc w:val="both"/>
        <w:rPr>
          <w:rFonts w:hint="eastAsia" w:ascii="黑体" w:hAnsi="黑体" w:eastAsia="黑体" w:cs="黑体"/>
          <w:b w:val="0"/>
          <w:bCs/>
          <w:sz w:val="32"/>
          <w:szCs w:val="32"/>
        </w:rPr>
      </w:pPr>
      <w:r>
        <w:rPr>
          <w:rFonts w:hint="eastAsia" w:ascii="黑体" w:hAnsi="黑体" w:eastAsia="黑体" w:cs="黑体"/>
          <w:b w:val="0"/>
          <w:bCs/>
          <w:sz w:val="32"/>
          <w:szCs w:val="32"/>
        </w:rPr>
        <w:t>七、学位申请与学位授予</w:t>
      </w:r>
    </w:p>
    <w:p>
      <w:pPr>
        <w:spacing w:line="560" w:lineRule="exact"/>
        <w:ind w:firstLine="640" w:firstLineChars="200"/>
        <w:jc w:val="both"/>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（一）学位申请</w:t>
      </w:r>
    </w:p>
    <w:p>
      <w:pPr>
        <w:spacing w:line="560" w:lineRule="exact"/>
        <w:ind w:firstLine="640" w:firstLineChars="2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生物医学工程博士研究生完成课程学习，</w:t>
      </w:r>
      <w:r>
        <w:rPr>
          <w:rFonts w:hint="eastAsia" w:ascii="仿宋_GB2312" w:hAnsi="仿宋_GB2312" w:eastAsia="仿宋_GB2312" w:cs="仿宋_GB2312"/>
          <w:sz w:val="32"/>
          <w:szCs w:val="32"/>
        </w:rPr>
        <w:t>成绩合格</w:t>
      </w:r>
      <w:r>
        <w:rPr>
          <w:rFonts w:hint="eastAsia" w:ascii="仿宋_GB2312" w:hAnsi="仿宋_GB2312" w:eastAsia="仿宋_GB2312" w:cs="仿宋_GB2312"/>
          <w:sz w:val="32"/>
          <w:szCs w:val="32"/>
          <w:lang w:eastAsia="zh-CN"/>
        </w:rPr>
        <w:t>且</w:t>
      </w:r>
      <w:r>
        <w:rPr>
          <w:rFonts w:hint="eastAsia" w:ascii="仿宋_GB2312" w:hAnsi="仿宋_GB2312" w:eastAsia="仿宋_GB2312" w:cs="仿宋_GB2312"/>
          <w:sz w:val="32"/>
          <w:szCs w:val="32"/>
        </w:rPr>
        <w:t>所有课程加权平均成绩必须达75分以上（含75分）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000000"/>
          <w:sz w:val="32"/>
          <w:szCs w:val="32"/>
        </w:rPr>
        <w:t>通过开题及中期考核，学位论文通过评阅及答辩，达到生物医学工程学术型博士毕业要求并发表符合要求的文章，学位英语通过，可申请生物医学工程学术型博士学位。</w:t>
      </w:r>
    </w:p>
    <w:p>
      <w:pPr>
        <w:spacing w:line="560" w:lineRule="exact"/>
        <w:ind w:firstLine="640" w:firstLineChars="200"/>
        <w:jc w:val="both"/>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（二）学位授予</w:t>
      </w:r>
    </w:p>
    <w:p>
      <w:pPr>
        <w:widowControl/>
        <w:spacing w:line="560" w:lineRule="exact"/>
        <w:ind w:firstLine="640" w:firstLineChars="2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学位授予按照国家及学校学位授予条例进行。</w:t>
      </w:r>
    </w:p>
    <w:p>
      <w:pPr>
        <w:spacing w:line="560" w:lineRule="exact"/>
        <w:ind w:firstLine="640" w:firstLineChars="200"/>
        <w:jc w:val="both"/>
        <w:rPr>
          <w:rFonts w:hint="eastAsia" w:ascii="黑体" w:hAnsi="黑体" w:eastAsia="黑体" w:cs="黑体"/>
          <w:b w:val="0"/>
          <w:bCs/>
          <w:sz w:val="32"/>
          <w:szCs w:val="32"/>
        </w:rPr>
      </w:pPr>
      <w:r>
        <w:rPr>
          <w:rFonts w:hint="eastAsia" w:ascii="黑体" w:hAnsi="黑体" w:eastAsia="黑体" w:cs="黑体"/>
          <w:b w:val="0"/>
          <w:bCs/>
          <w:sz w:val="32"/>
          <w:szCs w:val="32"/>
        </w:rPr>
        <w:t>八、本培养方案自2019级博士生开始实行，由研究生院负责解释。</w:t>
      </w:r>
    </w:p>
    <w:p>
      <w:pPr>
        <w:spacing w:line="360" w:lineRule="auto"/>
        <w:rPr>
          <w:rFonts w:ascii="宋体" w:hAnsi="宋体"/>
          <w:b/>
          <w:sz w:val="28"/>
          <w:szCs w:val="28"/>
        </w:rPr>
      </w:pPr>
    </w:p>
    <w:p>
      <w:pPr>
        <w:spacing w:line="360" w:lineRule="auto"/>
        <w:rPr>
          <w:b/>
          <w:sz w:val="28"/>
          <w:szCs w:val="28"/>
        </w:rPr>
      </w:pPr>
    </w:p>
    <w:sectPr>
      <w:footerReference r:id="rId3" w:type="default"/>
      <w:pgSz w:w="11906" w:h="16838"/>
      <w:pgMar w:top="1440" w:right="1800" w:bottom="1440" w:left="1800" w:header="851" w:footer="992" w:gutter="0"/>
      <w:pgNumType w:fmt="numberInDash" w:start="27"/>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w:pict>
        <v:shape id="_x0000_s4097" o:spid="_x0000_s4097" o:spt="202" type="#_x0000_t202" style="position:absolute;left:0pt;margin-top:0pt;height:144pt;width:144pt;mso-position-horizontal:right;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C44972"/>
    <w:rsid w:val="00003BEA"/>
    <w:rsid w:val="00012137"/>
    <w:rsid w:val="00020140"/>
    <w:rsid w:val="000267EF"/>
    <w:rsid w:val="00070493"/>
    <w:rsid w:val="000A519E"/>
    <w:rsid w:val="000C5A29"/>
    <w:rsid w:val="00103B82"/>
    <w:rsid w:val="00191D87"/>
    <w:rsid w:val="001D0194"/>
    <w:rsid w:val="00211582"/>
    <w:rsid w:val="00232A80"/>
    <w:rsid w:val="002B5552"/>
    <w:rsid w:val="002C057A"/>
    <w:rsid w:val="002C363A"/>
    <w:rsid w:val="003240B9"/>
    <w:rsid w:val="00395F99"/>
    <w:rsid w:val="003D48FF"/>
    <w:rsid w:val="004372C2"/>
    <w:rsid w:val="004A5634"/>
    <w:rsid w:val="004A6D6D"/>
    <w:rsid w:val="004B1901"/>
    <w:rsid w:val="00563702"/>
    <w:rsid w:val="0059136C"/>
    <w:rsid w:val="00592115"/>
    <w:rsid w:val="005C7543"/>
    <w:rsid w:val="005C78B7"/>
    <w:rsid w:val="00651183"/>
    <w:rsid w:val="00667223"/>
    <w:rsid w:val="00697462"/>
    <w:rsid w:val="006B500E"/>
    <w:rsid w:val="006F248C"/>
    <w:rsid w:val="006F4BB5"/>
    <w:rsid w:val="00703EF6"/>
    <w:rsid w:val="00713B9D"/>
    <w:rsid w:val="00754DB4"/>
    <w:rsid w:val="007A769A"/>
    <w:rsid w:val="007B79D2"/>
    <w:rsid w:val="007E619C"/>
    <w:rsid w:val="00815ACA"/>
    <w:rsid w:val="00817152"/>
    <w:rsid w:val="00861BCB"/>
    <w:rsid w:val="008736F5"/>
    <w:rsid w:val="00894D0A"/>
    <w:rsid w:val="0096090E"/>
    <w:rsid w:val="009714C3"/>
    <w:rsid w:val="009A4FFE"/>
    <w:rsid w:val="009C1F7A"/>
    <w:rsid w:val="00A77EF8"/>
    <w:rsid w:val="00A82B31"/>
    <w:rsid w:val="00AB3D10"/>
    <w:rsid w:val="00B0123E"/>
    <w:rsid w:val="00B154FA"/>
    <w:rsid w:val="00B3509F"/>
    <w:rsid w:val="00BA11C2"/>
    <w:rsid w:val="00BB239D"/>
    <w:rsid w:val="00BB2F93"/>
    <w:rsid w:val="00BC0F24"/>
    <w:rsid w:val="00BE2B18"/>
    <w:rsid w:val="00C44972"/>
    <w:rsid w:val="00C87D2F"/>
    <w:rsid w:val="00C92C2B"/>
    <w:rsid w:val="00D037CC"/>
    <w:rsid w:val="00D21E58"/>
    <w:rsid w:val="00D56FBF"/>
    <w:rsid w:val="00D64468"/>
    <w:rsid w:val="00D662AF"/>
    <w:rsid w:val="00D74797"/>
    <w:rsid w:val="00D802CF"/>
    <w:rsid w:val="00E23533"/>
    <w:rsid w:val="00E35DB6"/>
    <w:rsid w:val="00E60BE2"/>
    <w:rsid w:val="00E64B65"/>
    <w:rsid w:val="00E93B80"/>
    <w:rsid w:val="00EE2496"/>
    <w:rsid w:val="00F05E9C"/>
    <w:rsid w:val="00F62441"/>
    <w:rsid w:val="00F76080"/>
    <w:rsid w:val="00F96B0A"/>
    <w:rsid w:val="00FC4314"/>
    <w:rsid w:val="0B8F5FD2"/>
    <w:rsid w:val="18DF3488"/>
    <w:rsid w:val="1DAE6FCC"/>
    <w:rsid w:val="246D4CDA"/>
    <w:rsid w:val="3BF80AC4"/>
    <w:rsid w:val="553E1C29"/>
    <w:rsid w:val="5EA8146D"/>
    <w:rsid w:val="60E24717"/>
    <w:rsid w:val="68350EC2"/>
    <w:rsid w:val="69070387"/>
    <w:rsid w:val="750962ED"/>
    <w:rsid w:val="783D4DFD"/>
    <w:rsid w:val="7B347676"/>
    <w:rsid w:val="7EAD15D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6" w:lineRule="auto"/>
      <w:jc w:val="center"/>
      <w:outlineLvl w:val="0"/>
    </w:pPr>
    <w:rPr>
      <w:rFonts w:eastAsia="黑体"/>
      <w:b/>
      <w:bCs/>
      <w:kern w:val="44"/>
      <w:sz w:val="32"/>
      <w:szCs w:val="44"/>
    </w:rPr>
  </w:style>
  <w:style w:type="paragraph" w:styleId="3">
    <w:name w:val="heading 2"/>
    <w:basedOn w:val="1"/>
    <w:next w:val="1"/>
    <w:link w:val="17"/>
    <w:qFormat/>
    <w:uiPriority w:val="9"/>
    <w:pPr>
      <w:outlineLvl w:val="1"/>
    </w:pPr>
    <w:rPr>
      <w:rFonts w:ascii="黑体" w:hAnsi="黑体" w:eastAsia="黑体"/>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text"/>
    <w:basedOn w:val="1"/>
    <w:link w:val="15"/>
    <w:qFormat/>
    <w:uiPriority w:val="0"/>
    <w:pPr>
      <w:jc w:val="left"/>
    </w:pPr>
  </w:style>
  <w:style w:type="paragraph" w:styleId="5">
    <w:name w:val="Body Text Indent 2"/>
    <w:basedOn w:val="1"/>
    <w:qFormat/>
    <w:uiPriority w:val="0"/>
    <w:pPr>
      <w:ind w:left="-239" w:leftChars="-114" w:firstLine="720" w:firstLineChars="300"/>
    </w:pPr>
    <w:rPr>
      <w:sz w:val="24"/>
    </w:r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16"/>
    <w:qFormat/>
    <w:uiPriority w:val="0"/>
    <w:rPr>
      <w:b/>
      <w:bCs/>
    </w:rPr>
  </w:style>
  <w:style w:type="character" w:styleId="12">
    <w:name w:val="annotation reference"/>
    <w:basedOn w:val="11"/>
    <w:qFormat/>
    <w:uiPriority w:val="0"/>
    <w:rPr>
      <w:sz w:val="21"/>
      <w:szCs w:val="21"/>
    </w:rPr>
  </w:style>
  <w:style w:type="character" w:customStyle="1" w:styleId="13">
    <w:name w:val="页眉 Char"/>
    <w:basedOn w:val="11"/>
    <w:link w:val="8"/>
    <w:qFormat/>
    <w:uiPriority w:val="0"/>
    <w:rPr>
      <w:kern w:val="2"/>
      <w:sz w:val="18"/>
      <w:szCs w:val="18"/>
    </w:rPr>
  </w:style>
  <w:style w:type="character" w:customStyle="1" w:styleId="14">
    <w:name w:val="页脚 Char"/>
    <w:basedOn w:val="11"/>
    <w:link w:val="7"/>
    <w:qFormat/>
    <w:uiPriority w:val="0"/>
    <w:rPr>
      <w:kern w:val="2"/>
      <w:sz w:val="18"/>
      <w:szCs w:val="18"/>
    </w:rPr>
  </w:style>
  <w:style w:type="character" w:customStyle="1" w:styleId="15">
    <w:name w:val="批注文字 Char"/>
    <w:basedOn w:val="11"/>
    <w:link w:val="4"/>
    <w:qFormat/>
    <w:uiPriority w:val="0"/>
    <w:rPr>
      <w:kern w:val="2"/>
      <w:sz w:val="21"/>
    </w:rPr>
  </w:style>
  <w:style w:type="character" w:customStyle="1" w:styleId="16">
    <w:name w:val="批注主题 Char"/>
    <w:basedOn w:val="15"/>
    <w:link w:val="9"/>
    <w:qFormat/>
    <w:uiPriority w:val="0"/>
    <w:rPr>
      <w:b/>
      <w:bCs/>
      <w:kern w:val="2"/>
      <w:sz w:val="21"/>
    </w:rPr>
  </w:style>
  <w:style w:type="character" w:customStyle="1" w:styleId="17">
    <w:name w:val="标题 2 Char"/>
    <w:basedOn w:val="11"/>
    <w:link w:val="3"/>
    <w:qFormat/>
    <w:uiPriority w:val="9"/>
    <w:rPr>
      <w:rFonts w:ascii="黑体" w:hAnsi="黑体" w:eastAsia="黑体"/>
      <w:b/>
      <w:bCs/>
      <w:kern w:val="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1</Pages>
  <Words>639</Words>
  <Characters>3648</Characters>
  <Lines>30</Lines>
  <Paragraphs>8</Paragraphs>
  <TotalTime>3</TotalTime>
  <ScaleCrop>false</ScaleCrop>
  <LinksUpToDate>false</LinksUpToDate>
  <CharactersWithSpaces>4279</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2019-06-21T00:47:00Z</dcterms:created>
  <dc:creator>Lenovo User</dc:creator>
  <cp:lastModifiedBy>吴茂华</cp:lastModifiedBy>
  <cp:lastPrinted>2019-06-26T06:10:00Z</cp:lastPrinted>
  <dcterms:modified xsi:type="dcterms:W3CDTF">2019-07-19T08:12:27Z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