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6D" w:rsidRDefault="002E0766">
      <w:pPr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sz w:val="30"/>
          <w:szCs w:val="30"/>
        </w:rPr>
        <w:t>《</w:t>
      </w:r>
      <w:r w:rsidR="00BE2C57">
        <w:rPr>
          <w:rFonts w:ascii="宋体" w:hAnsi="宋体" w:cs="宋体" w:hint="eastAsia"/>
          <w:sz w:val="30"/>
          <w:szCs w:val="30"/>
        </w:rPr>
        <w:t>现代通风安全理论</w:t>
      </w:r>
      <w:r>
        <w:rPr>
          <w:rFonts w:ascii="宋体" w:hAnsi="宋体" w:cs="宋体" w:hint="eastAsia"/>
          <w:sz w:val="30"/>
          <w:szCs w:val="30"/>
        </w:rPr>
        <w:t>》</w:t>
      </w:r>
      <w:r>
        <w:rPr>
          <w:rFonts w:ascii="宋体" w:hAnsi="宋体" w:cs="宋体" w:hint="eastAsia"/>
          <w:sz w:val="30"/>
          <w:szCs w:val="30"/>
        </w:rPr>
        <w:t>考试</w:t>
      </w:r>
      <w:r>
        <w:rPr>
          <w:rFonts w:ascii="宋体" w:hAnsi="宋体" w:cs="宋体" w:hint="eastAsia"/>
          <w:sz w:val="30"/>
          <w:szCs w:val="30"/>
        </w:rPr>
        <w:t>大纲</w:t>
      </w:r>
    </w:p>
    <w:p w:rsidR="00676C6D" w:rsidRDefault="002E0766">
      <w:pPr>
        <w:pStyle w:val="a6"/>
        <w:numPr>
          <w:ilvl w:val="0"/>
          <w:numId w:val="1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考查目标</w:t>
      </w:r>
    </w:p>
    <w:p w:rsidR="00676C6D" w:rsidRDefault="002E0766">
      <w:pPr>
        <w:pStyle w:val="20"/>
        <w:ind w:firstLineChars="200" w:firstLine="560"/>
        <w:rPr>
          <w:rFonts w:ascii="宋体" w:hAnsi="宋体"/>
          <w:color w:val="auto"/>
          <w:kern w:val="2"/>
          <w:sz w:val="28"/>
          <w:szCs w:val="28"/>
        </w:rPr>
      </w:pPr>
      <w:r>
        <w:rPr>
          <w:rFonts w:ascii="宋体" w:hAnsi="宋体" w:hint="eastAsia"/>
          <w:color w:val="auto"/>
          <w:kern w:val="2"/>
          <w:sz w:val="28"/>
          <w:szCs w:val="28"/>
        </w:rPr>
        <w:t>通过《</w:t>
      </w:r>
      <w:r w:rsidR="00BE2C57">
        <w:rPr>
          <w:rFonts w:ascii="宋体" w:hAnsi="宋体" w:hint="eastAsia"/>
          <w:color w:val="auto"/>
          <w:kern w:val="2"/>
          <w:sz w:val="28"/>
          <w:szCs w:val="28"/>
        </w:rPr>
        <w:t>现代通风安全理论</w:t>
      </w:r>
      <w:r>
        <w:rPr>
          <w:rFonts w:ascii="宋体" w:hAnsi="宋体" w:hint="eastAsia"/>
          <w:color w:val="auto"/>
          <w:kern w:val="2"/>
          <w:sz w:val="28"/>
          <w:szCs w:val="28"/>
        </w:rPr>
        <w:t>》考查，了解学生对</w:t>
      </w:r>
      <w:r w:rsidR="00BE2C57">
        <w:rPr>
          <w:rFonts w:ascii="宋体" w:hAnsi="宋体" w:hint="eastAsia"/>
          <w:color w:val="auto"/>
          <w:kern w:val="2"/>
          <w:sz w:val="28"/>
          <w:szCs w:val="28"/>
        </w:rPr>
        <w:t>矿山通风安全方向</w:t>
      </w:r>
      <w:r>
        <w:rPr>
          <w:rFonts w:ascii="宋体" w:hAnsi="宋体" w:hint="eastAsia"/>
          <w:color w:val="auto"/>
          <w:kern w:val="2"/>
          <w:sz w:val="28"/>
          <w:szCs w:val="28"/>
        </w:rPr>
        <w:t>的基本理论、基础知识和基本技能的掌握情况，考查学生应用</w:t>
      </w:r>
      <w:r w:rsidR="00BE2C57">
        <w:rPr>
          <w:rFonts w:ascii="宋体" w:hAnsi="宋体" w:hint="eastAsia"/>
          <w:color w:val="auto"/>
          <w:kern w:val="2"/>
          <w:sz w:val="28"/>
          <w:szCs w:val="28"/>
        </w:rPr>
        <w:t>现代通风安全理论</w:t>
      </w:r>
      <w:r>
        <w:rPr>
          <w:rFonts w:ascii="宋体" w:hAnsi="宋体" w:hint="eastAsia"/>
          <w:color w:val="auto"/>
          <w:kern w:val="2"/>
          <w:sz w:val="28"/>
          <w:szCs w:val="28"/>
        </w:rPr>
        <w:t>去分析、解决复杂</w:t>
      </w:r>
      <w:r w:rsidR="00BE2C57">
        <w:rPr>
          <w:rFonts w:ascii="宋体" w:hAnsi="宋体" w:hint="eastAsia"/>
          <w:color w:val="auto"/>
          <w:kern w:val="2"/>
          <w:sz w:val="28"/>
          <w:szCs w:val="28"/>
        </w:rPr>
        <w:t>矿山安全</w:t>
      </w:r>
      <w:r>
        <w:rPr>
          <w:rFonts w:ascii="宋体" w:hAnsi="宋体" w:hint="eastAsia"/>
          <w:color w:val="auto"/>
          <w:kern w:val="2"/>
          <w:sz w:val="28"/>
          <w:szCs w:val="28"/>
        </w:rPr>
        <w:t>工程问题的能力。考查学生是否具备在安全</w:t>
      </w:r>
      <w:r w:rsidR="00BE2C57">
        <w:rPr>
          <w:rFonts w:ascii="宋体" w:hAnsi="宋体" w:hint="eastAsia"/>
          <w:color w:val="auto"/>
          <w:kern w:val="2"/>
          <w:sz w:val="28"/>
          <w:szCs w:val="28"/>
        </w:rPr>
        <w:t>科学与工程</w:t>
      </w:r>
      <w:r>
        <w:rPr>
          <w:rFonts w:ascii="宋体" w:hAnsi="宋体" w:hint="eastAsia"/>
          <w:color w:val="auto"/>
          <w:kern w:val="2"/>
          <w:sz w:val="28"/>
          <w:szCs w:val="28"/>
        </w:rPr>
        <w:t>领域</w:t>
      </w:r>
      <w:r>
        <w:rPr>
          <w:rFonts w:ascii="宋体" w:hAnsi="宋体" w:hint="eastAsia"/>
          <w:color w:val="auto"/>
          <w:kern w:val="2"/>
          <w:sz w:val="28"/>
          <w:szCs w:val="28"/>
        </w:rPr>
        <w:t>具备继续深入学习和研究的能力。</w:t>
      </w:r>
    </w:p>
    <w:p w:rsidR="00676C6D" w:rsidRDefault="002E0766">
      <w:pPr>
        <w:pStyle w:val="a6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二、考试形式与试卷结构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（一）试卷满分及考试时间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为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分，考试时间为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小时</w:t>
      </w:r>
      <w:r>
        <w:rPr>
          <w:rFonts w:ascii="宋体" w:hAnsi="宋体" w:hint="eastAsia"/>
          <w:sz w:val="28"/>
          <w:szCs w:val="28"/>
        </w:rPr>
        <w:t>。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（二）答题方式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答题方式为闭卷、笔试。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）试卷题型结构</w:t>
      </w:r>
    </w:p>
    <w:p w:rsidR="00676C6D" w:rsidRDefault="002E0766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基础知识</w:t>
      </w:r>
      <w:r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分左右，分析计算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分左右，论述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分左右</w:t>
      </w:r>
    </w:p>
    <w:p w:rsidR="00676C6D" w:rsidRDefault="002E0766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三、考查内容及要求</w:t>
      </w:r>
    </w:p>
    <w:p w:rsidR="00BE2C57" w:rsidRDefault="002E0766" w:rsidP="002E0766">
      <w:pPr>
        <w:shd w:val="clear" w:color="auto" w:fill="FFFFFF"/>
        <w:spacing w:line="360" w:lineRule="atLeast"/>
        <w:ind w:firstLine="4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 w:rsidR="00BE2C57">
        <w:rPr>
          <w:rFonts w:ascii="宋体" w:hAnsi="宋体" w:hint="eastAsia"/>
          <w:sz w:val="28"/>
          <w:szCs w:val="28"/>
        </w:rPr>
        <w:t>现代通风安全理论</w:t>
      </w:r>
      <w:r>
        <w:rPr>
          <w:rFonts w:ascii="宋体" w:hAnsi="宋体" w:hint="eastAsia"/>
          <w:sz w:val="28"/>
          <w:szCs w:val="28"/>
        </w:rPr>
        <w:t>的基本原理和方法，如通风网络图的存储、图的矩阵表示及计算、深度优先搜索法、</w:t>
      </w:r>
      <w:proofErr w:type="gramStart"/>
      <w:r>
        <w:rPr>
          <w:rFonts w:ascii="宋体" w:hAnsi="宋体" w:hint="eastAsia"/>
          <w:sz w:val="28"/>
          <w:szCs w:val="28"/>
        </w:rPr>
        <w:t>最小树</w:t>
      </w:r>
      <w:proofErr w:type="gramEnd"/>
      <w:r>
        <w:rPr>
          <w:rFonts w:ascii="宋体" w:hAnsi="宋体" w:hint="eastAsia"/>
          <w:sz w:val="28"/>
          <w:szCs w:val="28"/>
        </w:rPr>
        <w:t>及最短路的理论与算法、极值流的算法、通风系统可靠性及稳定性理论、</w:t>
      </w:r>
      <w:proofErr w:type="gramStart"/>
      <w:r>
        <w:rPr>
          <w:rFonts w:ascii="宋体" w:hAnsi="宋体" w:hint="eastAsia"/>
          <w:sz w:val="28"/>
          <w:szCs w:val="28"/>
        </w:rPr>
        <w:t>角联结构</w:t>
      </w:r>
      <w:proofErr w:type="gramEnd"/>
      <w:r>
        <w:rPr>
          <w:rFonts w:ascii="宋体" w:hAnsi="宋体" w:hint="eastAsia"/>
          <w:sz w:val="28"/>
          <w:szCs w:val="28"/>
        </w:rPr>
        <w:t>自动识别、网络简化、通风网络特征图、矿井火灾基础、</w:t>
      </w:r>
      <w:r w:rsidRPr="002E0766">
        <w:rPr>
          <w:rFonts w:ascii="宋体" w:hAnsi="宋体"/>
          <w:sz w:val="28"/>
          <w:szCs w:val="28"/>
        </w:rPr>
        <w:t>井巷火灾燃烧</w:t>
      </w:r>
      <w:r>
        <w:rPr>
          <w:rFonts w:ascii="宋体" w:hAnsi="宋体"/>
          <w:sz w:val="28"/>
          <w:szCs w:val="28"/>
        </w:rPr>
        <w:t>原理、井巷沿</w:t>
      </w:r>
      <w:proofErr w:type="gramStart"/>
      <w:r>
        <w:rPr>
          <w:rFonts w:ascii="宋体" w:hAnsi="宋体"/>
          <w:sz w:val="28"/>
          <w:szCs w:val="28"/>
        </w:rPr>
        <w:t>程烟流</w:t>
      </w:r>
      <w:proofErr w:type="gramEnd"/>
      <w:r>
        <w:rPr>
          <w:rFonts w:ascii="宋体" w:hAnsi="宋体"/>
          <w:sz w:val="28"/>
          <w:szCs w:val="28"/>
        </w:rPr>
        <w:t>温度分布和</w:t>
      </w:r>
      <w:proofErr w:type="gramStart"/>
      <w:r>
        <w:rPr>
          <w:rFonts w:ascii="宋体" w:hAnsi="宋体"/>
          <w:sz w:val="28"/>
          <w:szCs w:val="28"/>
        </w:rPr>
        <w:t>断面烟流温度分布</w:t>
      </w:r>
      <w:proofErr w:type="gramEnd"/>
      <w:r>
        <w:rPr>
          <w:rFonts w:ascii="宋体" w:hAnsi="宋体"/>
          <w:sz w:val="28"/>
          <w:szCs w:val="28"/>
        </w:rPr>
        <w:t>、</w:t>
      </w:r>
      <w:r w:rsidRPr="002E0766">
        <w:rPr>
          <w:rFonts w:ascii="宋体" w:hAnsi="宋体"/>
          <w:sz w:val="28"/>
          <w:szCs w:val="28"/>
        </w:rPr>
        <w:t>节流效应烟流阻力、浮力</w:t>
      </w:r>
      <w:r>
        <w:rPr>
          <w:rFonts w:ascii="宋体" w:hAnsi="宋体"/>
          <w:sz w:val="28"/>
          <w:szCs w:val="28"/>
        </w:rPr>
        <w:t>效应烟流阻力</w:t>
      </w:r>
      <w:proofErr w:type="gramStart"/>
      <w:r>
        <w:rPr>
          <w:rFonts w:ascii="宋体" w:hAnsi="宋体"/>
          <w:sz w:val="28"/>
          <w:szCs w:val="28"/>
        </w:rPr>
        <w:t>和烟流摩擦阻力</w:t>
      </w:r>
      <w:proofErr w:type="gramEnd"/>
      <w:r>
        <w:rPr>
          <w:rFonts w:ascii="宋体" w:hAnsi="宋体"/>
          <w:sz w:val="28"/>
          <w:szCs w:val="28"/>
        </w:rPr>
        <w:t>、</w:t>
      </w:r>
      <w:proofErr w:type="gramStart"/>
      <w:r w:rsidRPr="002E0766">
        <w:rPr>
          <w:rFonts w:ascii="宋体" w:hAnsi="宋体"/>
          <w:sz w:val="28"/>
          <w:szCs w:val="28"/>
        </w:rPr>
        <w:t>火灾烟</w:t>
      </w:r>
      <w:bookmarkStart w:id="0" w:name="_GoBack"/>
      <w:bookmarkEnd w:id="0"/>
      <w:r w:rsidRPr="002E0766">
        <w:rPr>
          <w:rFonts w:ascii="宋体" w:hAnsi="宋体"/>
          <w:sz w:val="28"/>
          <w:szCs w:val="28"/>
        </w:rPr>
        <w:t>流逆流</w:t>
      </w:r>
      <w:proofErr w:type="gramEnd"/>
      <w:r w:rsidRPr="002E0766">
        <w:rPr>
          <w:rFonts w:ascii="宋体" w:hAnsi="宋体"/>
          <w:sz w:val="28"/>
          <w:szCs w:val="28"/>
        </w:rPr>
        <w:t>层原理</w:t>
      </w:r>
      <w:r>
        <w:rPr>
          <w:rFonts w:ascii="宋体" w:hAnsi="宋体" w:hint="eastAsia"/>
          <w:sz w:val="28"/>
          <w:szCs w:val="28"/>
        </w:rPr>
        <w:t>等。</w:t>
      </w:r>
    </w:p>
    <w:p w:rsidR="00676C6D" w:rsidRPr="002E0766" w:rsidRDefault="002E0766" w:rsidP="002E0766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能够应用</w:t>
      </w:r>
      <w:r w:rsidR="00BE2C57">
        <w:rPr>
          <w:rFonts w:ascii="宋体" w:hAnsi="宋体" w:hint="eastAsia"/>
          <w:sz w:val="28"/>
          <w:szCs w:val="28"/>
        </w:rPr>
        <w:t>现代通风安全理论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复杂</w:t>
      </w:r>
      <w:r w:rsidR="00BE2C57">
        <w:rPr>
          <w:rFonts w:ascii="宋体" w:hAnsi="宋体" w:hint="eastAsia"/>
          <w:sz w:val="28"/>
          <w:szCs w:val="28"/>
        </w:rPr>
        <w:t>矿山</w:t>
      </w:r>
      <w:r>
        <w:rPr>
          <w:rFonts w:ascii="宋体" w:hAnsi="宋体" w:hint="eastAsia"/>
          <w:sz w:val="28"/>
          <w:szCs w:val="28"/>
        </w:rPr>
        <w:t>安全工程问题进行分析、</w:t>
      </w:r>
      <w:r w:rsidR="00BE2C57">
        <w:rPr>
          <w:rFonts w:ascii="宋体" w:hAnsi="宋体" w:hint="eastAsia"/>
          <w:sz w:val="28"/>
          <w:szCs w:val="28"/>
        </w:rPr>
        <w:t>计算</w:t>
      </w:r>
      <w:r>
        <w:rPr>
          <w:rFonts w:ascii="宋体" w:hAnsi="宋体" w:hint="eastAsia"/>
          <w:sz w:val="28"/>
          <w:szCs w:val="28"/>
        </w:rPr>
        <w:t>和处理，如</w:t>
      </w:r>
      <w:r w:rsidR="00BE2C57">
        <w:rPr>
          <w:rFonts w:ascii="宋体" w:hAnsi="宋体" w:hint="eastAsia"/>
          <w:sz w:val="28"/>
          <w:szCs w:val="28"/>
        </w:rPr>
        <w:t>矿井通风、瓦斯、火灾方面的最新研究进展，</w:t>
      </w:r>
      <w:r>
        <w:rPr>
          <w:rFonts w:ascii="宋体" w:hAnsi="宋体" w:hint="eastAsia"/>
          <w:sz w:val="28"/>
          <w:szCs w:val="28"/>
        </w:rPr>
        <w:t>先进的理论、技术与工程应用，矿井通风对瓦斯事故及火灾事故防治的作用</w:t>
      </w:r>
      <w:r>
        <w:rPr>
          <w:rFonts w:ascii="宋体" w:hAnsi="宋体" w:hint="eastAsia"/>
          <w:sz w:val="28"/>
          <w:szCs w:val="28"/>
        </w:rPr>
        <w:t>。</w:t>
      </w:r>
    </w:p>
    <w:sectPr w:rsidR="00676C6D" w:rsidRPr="002E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7875"/>
    <w:multiLevelType w:val="multilevel"/>
    <w:tmpl w:val="5E6B787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2D8B"/>
    <w:rsid w:val="002E0766"/>
    <w:rsid w:val="00676C6D"/>
    <w:rsid w:val="00BE2C57"/>
    <w:rsid w:val="0C5A0C11"/>
    <w:rsid w:val="1610722A"/>
    <w:rsid w:val="19483088"/>
    <w:rsid w:val="2B1643C9"/>
    <w:rsid w:val="5E7C2E2E"/>
    <w:rsid w:val="7842654E"/>
    <w:rsid w:val="7BE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480"/>
    </w:pPr>
    <w:rPr>
      <w:color w:val="FF0000"/>
      <w:kern w:val="0"/>
      <w:sz w:val="20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qFormat/>
    <w:rPr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480"/>
    </w:pPr>
    <w:rPr>
      <w:color w:val="FF0000"/>
      <w:kern w:val="0"/>
      <w:sz w:val="20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qFormat/>
    <w:rPr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2020-03-24T05:40:00Z</dcterms:created>
  <dcterms:modified xsi:type="dcterms:W3CDTF">2020-03-24T12:55:00Z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