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2242579" w14:textId="77777777" w:rsidR="00861E05" w:rsidRDefault="00861E05">
      <w:pPr>
        <w:rPr>
          <w:rFonts w:ascii="仿宋" w:eastAsia="仿宋" w:hAnsi="仿宋"/>
          <w:sz w:val="24"/>
          <w:szCs w:val="24"/>
        </w:rPr>
      </w:pPr>
    </w:p>
    <w:p w14:paraId="7FBE6D78" w14:textId="77777777" w:rsidR="00861E05" w:rsidRDefault="008A39E5">
      <w:pPr>
        <w:jc w:val="center"/>
        <w:rPr>
          <w:rFonts w:ascii="华文中宋" w:eastAsia="华文中宋" w:hAnsi="华文中宋"/>
          <w:sz w:val="32"/>
          <w:szCs w:val="32"/>
        </w:rPr>
      </w:pPr>
      <w:r>
        <w:rPr>
          <w:rFonts w:ascii="华文中宋" w:eastAsia="华文中宋" w:hAnsi="华文中宋" w:hint="eastAsia"/>
          <w:sz w:val="32"/>
          <w:szCs w:val="32"/>
        </w:rPr>
        <w:t>辽宁大学2021年招收攻读博士学位研究生(普通招考方式)</w:t>
      </w:r>
    </w:p>
    <w:p w14:paraId="477A7E9E" w14:textId="77777777" w:rsidR="00861E05" w:rsidRDefault="008A39E5">
      <w:pPr>
        <w:jc w:val="center"/>
        <w:rPr>
          <w:rFonts w:ascii="华文中宋" w:eastAsia="华文中宋" w:hAnsi="华文中宋"/>
          <w:sz w:val="32"/>
          <w:szCs w:val="32"/>
        </w:rPr>
      </w:pPr>
      <w:r>
        <w:rPr>
          <w:rFonts w:ascii="华文中宋" w:eastAsia="华文中宋" w:hAnsi="华文中宋" w:hint="eastAsia"/>
          <w:sz w:val="32"/>
          <w:szCs w:val="32"/>
        </w:rPr>
        <w:t>初试科目考试大纲</w:t>
      </w:r>
    </w:p>
    <w:p w14:paraId="41584E23" w14:textId="77777777" w:rsidR="00861E05" w:rsidRDefault="00861E05">
      <w:pPr>
        <w:rPr>
          <w:rFonts w:ascii="仿宋" w:eastAsia="仿宋" w:hAnsi="仿宋"/>
          <w:sz w:val="28"/>
          <w:szCs w:val="28"/>
        </w:rPr>
      </w:pPr>
    </w:p>
    <w:p w14:paraId="73BA6D47" w14:textId="77777777" w:rsidR="00861E05" w:rsidRDefault="008A39E5">
      <w:pPr>
        <w:rPr>
          <w:rFonts w:ascii="仿宋" w:eastAsia="仿宋" w:hAnsi="仿宋"/>
          <w:sz w:val="28"/>
          <w:szCs w:val="28"/>
        </w:rPr>
      </w:pPr>
      <w:r>
        <w:rPr>
          <w:rFonts w:ascii="仿宋" w:eastAsia="仿宋" w:hAnsi="仿宋" w:hint="eastAsia"/>
          <w:sz w:val="28"/>
          <w:szCs w:val="28"/>
        </w:rPr>
        <w:t>科目代码：3023</w:t>
      </w:r>
    </w:p>
    <w:p w14:paraId="51FF3175" w14:textId="77777777" w:rsidR="00861E05" w:rsidRDefault="008A39E5">
      <w:pPr>
        <w:rPr>
          <w:rFonts w:ascii="仿宋" w:eastAsia="仿宋" w:hAnsi="仿宋"/>
          <w:sz w:val="28"/>
          <w:szCs w:val="28"/>
        </w:rPr>
      </w:pPr>
      <w:r>
        <w:rPr>
          <w:rFonts w:ascii="仿宋" w:eastAsia="仿宋" w:hAnsi="仿宋" w:hint="eastAsia"/>
          <w:sz w:val="28"/>
          <w:szCs w:val="28"/>
        </w:rPr>
        <w:t xml:space="preserve">科目名称：国际经济学 </w:t>
      </w:r>
    </w:p>
    <w:p w14:paraId="4619284D" w14:textId="77777777" w:rsidR="00861E05" w:rsidRDefault="008A39E5">
      <w:pPr>
        <w:rPr>
          <w:rFonts w:ascii="仿宋" w:eastAsia="仿宋" w:hAnsi="仿宋"/>
          <w:sz w:val="28"/>
          <w:szCs w:val="28"/>
        </w:rPr>
      </w:pPr>
      <w:r>
        <w:rPr>
          <w:rFonts w:ascii="仿宋" w:eastAsia="仿宋" w:hAnsi="仿宋" w:hint="eastAsia"/>
          <w:sz w:val="28"/>
          <w:szCs w:val="28"/>
        </w:rPr>
        <w:t>满分：100分</w:t>
      </w:r>
    </w:p>
    <w:p w14:paraId="4E2BE0CC" w14:textId="77777777" w:rsidR="00861E05" w:rsidRDefault="008A39E5" w:rsidP="0049383B">
      <w:pPr>
        <w:spacing w:beforeLines="100" w:before="312" w:afterLines="100" w:after="312" w:line="380" w:lineRule="exact"/>
        <w:rPr>
          <w:rFonts w:ascii="宋体" w:eastAsia="宋体" w:hAnsi="宋体"/>
          <w:b/>
          <w:bCs/>
          <w:sz w:val="24"/>
          <w:szCs w:val="24"/>
        </w:rPr>
      </w:pPr>
      <w:r>
        <w:rPr>
          <w:rFonts w:ascii="宋体" w:eastAsia="宋体" w:hAnsi="宋体" w:hint="eastAsia"/>
          <w:b/>
          <w:bCs/>
          <w:sz w:val="24"/>
          <w:szCs w:val="24"/>
        </w:rPr>
        <w:t>一、考察目标</w:t>
      </w:r>
    </w:p>
    <w:p w14:paraId="045BCF40" w14:textId="77777777" w:rsidR="00861E05" w:rsidRDefault="008A39E5" w:rsidP="0049383B">
      <w:pPr>
        <w:spacing w:beforeLines="100" w:before="312" w:afterLines="100" w:after="312" w:line="480" w:lineRule="auto"/>
        <w:ind w:firstLineChars="200" w:firstLine="480"/>
        <w:rPr>
          <w:rFonts w:ascii="宋体" w:eastAsia="宋体" w:hAnsi="宋体"/>
          <w:sz w:val="24"/>
          <w:szCs w:val="24"/>
        </w:rPr>
      </w:pPr>
      <w:r>
        <w:rPr>
          <w:rFonts w:ascii="宋体" w:eastAsia="宋体" w:hAnsi="宋体" w:hint="eastAsia"/>
          <w:sz w:val="24"/>
          <w:szCs w:val="24"/>
        </w:rPr>
        <w:t>本科目是辽宁大学国际经济政治学院世界经济、转轨经济学和比较政治经济学三个专业博士研究生入学考试的共用考试科目。本科目考试的目的在于，考察考生是否对国际经济的理论和原则有一个综合的、清晰的把握和运用，从而对学</w:t>
      </w:r>
      <w:proofErr w:type="gramStart"/>
      <w:r>
        <w:rPr>
          <w:rFonts w:ascii="宋体" w:eastAsia="宋体" w:hAnsi="宋体" w:hint="eastAsia"/>
          <w:sz w:val="24"/>
          <w:szCs w:val="24"/>
        </w:rPr>
        <w:t>生是否</w:t>
      </w:r>
      <w:proofErr w:type="gramEnd"/>
      <w:r>
        <w:rPr>
          <w:rFonts w:ascii="宋体" w:eastAsia="宋体" w:hAnsi="宋体" w:hint="eastAsia"/>
          <w:sz w:val="24"/>
          <w:szCs w:val="24"/>
        </w:rPr>
        <w:t>具备攻读博士研究生的基本条件提供一个判断基准。</w:t>
      </w:r>
    </w:p>
    <w:p w14:paraId="512A7542" w14:textId="77777777" w:rsidR="00861E05" w:rsidRDefault="008A39E5" w:rsidP="0049383B">
      <w:pPr>
        <w:numPr>
          <w:ilvl w:val="0"/>
          <w:numId w:val="1"/>
        </w:numPr>
        <w:spacing w:beforeLines="100" w:before="312" w:afterLines="100" w:after="312" w:line="380" w:lineRule="exact"/>
        <w:rPr>
          <w:rFonts w:ascii="宋体" w:eastAsia="宋体" w:hAnsi="宋体"/>
          <w:b/>
          <w:bCs/>
          <w:sz w:val="24"/>
          <w:szCs w:val="24"/>
        </w:rPr>
      </w:pPr>
      <w:r>
        <w:rPr>
          <w:rFonts w:ascii="宋体" w:eastAsia="宋体" w:hAnsi="宋体" w:hint="eastAsia"/>
          <w:b/>
          <w:bCs/>
          <w:sz w:val="24"/>
          <w:szCs w:val="24"/>
        </w:rPr>
        <w:t>考试范围与考察重点</w:t>
      </w:r>
    </w:p>
    <w:p w14:paraId="64E148DB" w14:textId="77777777" w:rsidR="00861E05" w:rsidRDefault="008A39E5" w:rsidP="0049383B">
      <w:pPr>
        <w:spacing w:beforeLines="100" w:before="312" w:afterLines="100" w:after="312" w:line="380" w:lineRule="exact"/>
        <w:rPr>
          <w:rFonts w:ascii="宋体" w:eastAsia="宋体" w:hAnsi="宋体"/>
          <w:b/>
          <w:bCs/>
          <w:sz w:val="24"/>
          <w:szCs w:val="24"/>
        </w:rPr>
      </w:pPr>
      <w:r>
        <w:rPr>
          <w:rFonts w:ascii="宋体" w:eastAsia="宋体" w:hAnsi="宋体" w:hint="eastAsia"/>
          <w:b/>
          <w:bCs/>
          <w:sz w:val="24"/>
          <w:szCs w:val="24"/>
        </w:rPr>
        <w:t>考试范围：</w:t>
      </w:r>
    </w:p>
    <w:p w14:paraId="31B4D845" w14:textId="77777777" w:rsidR="00861E05" w:rsidRPr="0049383B" w:rsidRDefault="008A39E5" w:rsidP="0049383B">
      <w:pPr>
        <w:spacing w:beforeLines="100" w:before="312" w:afterLines="100" w:after="312" w:line="380" w:lineRule="exact"/>
        <w:rPr>
          <w:rFonts w:ascii="宋体" w:eastAsia="宋体" w:hAnsi="宋体"/>
          <w:sz w:val="24"/>
          <w:szCs w:val="24"/>
        </w:rPr>
      </w:pPr>
      <w:r w:rsidRPr="0049383B">
        <w:rPr>
          <w:rFonts w:ascii="宋体" w:eastAsia="宋体" w:hAnsi="宋体"/>
          <w:sz w:val="24"/>
          <w:szCs w:val="24"/>
        </w:rPr>
        <w:t>第1章  绪论</w:t>
      </w:r>
    </w:p>
    <w:p w14:paraId="01D99953" w14:textId="77777777" w:rsidR="00861E05" w:rsidRDefault="008A39E5" w:rsidP="0049383B">
      <w:pPr>
        <w:spacing w:beforeLines="100" w:before="312" w:afterLines="100" w:after="312" w:line="380" w:lineRule="exact"/>
        <w:rPr>
          <w:rFonts w:ascii="宋体" w:eastAsia="宋体" w:hAnsi="宋体"/>
          <w:b/>
          <w:sz w:val="24"/>
          <w:szCs w:val="24"/>
        </w:rPr>
      </w:pPr>
      <w:r>
        <w:rPr>
          <w:rFonts w:ascii="宋体" w:eastAsia="宋体" w:hAnsi="宋体"/>
          <w:b/>
          <w:sz w:val="24"/>
          <w:szCs w:val="24"/>
        </w:rPr>
        <w:t>第1部分  国际贸易理论</w:t>
      </w:r>
    </w:p>
    <w:p w14:paraId="13DBB8DB" w14:textId="77777777" w:rsidR="00861E05" w:rsidRDefault="008A39E5" w:rsidP="0049383B">
      <w:pPr>
        <w:spacing w:beforeLines="100" w:before="312" w:afterLines="100" w:after="312" w:line="380" w:lineRule="exact"/>
        <w:rPr>
          <w:rFonts w:ascii="宋体" w:eastAsia="宋体" w:hAnsi="宋体"/>
          <w:sz w:val="24"/>
          <w:szCs w:val="24"/>
        </w:rPr>
      </w:pPr>
      <w:r>
        <w:rPr>
          <w:rFonts w:ascii="宋体" w:eastAsia="宋体" w:hAnsi="宋体"/>
          <w:sz w:val="24"/>
          <w:szCs w:val="24"/>
        </w:rPr>
        <w:t>第2章  比较优势原理</w:t>
      </w:r>
    </w:p>
    <w:p w14:paraId="6F4F69C6" w14:textId="77777777" w:rsidR="00861E05" w:rsidRDefault="008A39E5" w:rsidP="0049383B">
      <w:pPr>
        <w:spacing w:beforeLines="100" w:before="312" w:afterLines="100" w:after="312" w:line="380" w:lineRule="exact"/>
        <w:rPr>
          <w:rFonts w:ascii="宋体" w:eastAsia="宋体" w:hAnsi="宋体"/>
          <w:sz w:val="24"/>
          <w:szCs w:val="24"/>
        </w:rPr>
      </w:pPr>
      <w:r>
        <w:rPr>
          <w:rFonts w:ascii="宋体" w:eastAsia="宋体" w:hAnsi="宋体"/>
          <w:sz w:val="24"/>
          <w:szCs w:val="24"/>
        </w:rPr>
        <w:t>第3章  国际贸易的标准理论</w:t>
      </w:r>
    </w:p>
    <w:p w14:paraId="5499B4F5" w14:textId="77777777" w:rsidR="00861E05" w:rsidRDefault="008A39E5" w:rsidP="0049383B">
      <w:pPr>
        <w:spacing w:beforeLines="100" w:before="312" w:afterLines="100" w:after="312" w:line="380" w:lineRule="exact"/>
        <w:rPr>
          <w:rFonts w:ascii="宋体" w:eastAsia="宋体" w:hAnsi="宋体"/>
          <w:sz w:val="24"/>
          <w:szCs w:val="24"/>
        </w:rPr>
      </w:pPr>
      <w:r>
        <w:rPr>
          <w:rFonts w:ascii="宋体" w:eastAsia="宋体" w:hAnsi="宋体"/>
          <w:sz w:val="24"/>
          <w:szCs w:val="24"/>
        </w:rPr>
        <w:t>第4章  需求、供给、提供曲线与贸易条件</w:t>
      </w:r>
    </w:p>
    <w:p w14:paraId="27C007BA" w14:textId="77777777" w:rsidR="00861E05" w:rsidRDefault="008A39E5" w:rsidP="0049383B">
      <w:pPr>
        <w:spacing w:beforeLines="100" w:before="312" w:afterLines="100" w:after="312" w:line="380" w:lineRule="exact"/>
        <w:rPr>
          <w:rFonts w:ascii="宋体" w:eastAsia="宋体" w:hAnsi="宋体"/>
          <w:sz w:val="24"/>
          <w:szCs w:val="24"/>
        </w:rPr>
      </w:pPr>
      <w:r>
        <w:rPr>
          <w:rFonts w:ascii="宋体" w:eastAsia="宋体" w:hAnsi="宋体"/>
          <w:sz w:val="24"/>
          <w:szCs w:val="24"/>
        </w:rPr>
        <w:t>第5章  要素禀赋与赫克歇尔—俄林理论</w:t>
      </w:r>
    </w:p>
    <w:p w14:paraId="0CF5338E" w14:textId="77777777" w:rsidR="00861E05" w:rsidRDefault="008A39E5" w:rsidP="0049383B">
      <w:pPr>
        <w:spacing w:beforeLines="100" w:before="312" w:afterLines="100" w:after="312" w:line="380" w:lineRule="exact"/>
        <w:rPr>
          <w:rFonts w:ascii="宋体" w:eastAsia="宋体" w:hAnsi="宋体"/>
          <w:sz w:val="24"/>
          <w:szCs w:val="24"/>
        </w:rPr>
      </w:pPr>
      <w:r>
        <w:rPr>
          <w:rFonts w:ascii="宋体" w:eastAsia="宋体" w:hAnsi="宋体"/>
          <w:sz w:val="24"/>
          <w:szCs w:val="24"/>
        </w:rPr>
        <w:t>第6章  规模经济、不完全竞争与国际贸易</w:t>
      </w:r>
    </w:p>
    <w:p w14:paraId="35C77EEA" w14:textId="77777777" w:rsidR="00861E05" w:rsidRDefault="008A39E5" w:rsidP="0049383B">
      <w:pPr>
        <w:spacing w:beforeLines="100" w:before="312" w:afterLines="100" w:after="312" w:line="380" w:lineRule="exact"/>
        <w:rPr>
          <w:rFonts w:ascii="宋体" w:eastAsia="宋体" w:hAnsi="宋体"/>
          <w:sz w:val="24"/>
          <w:szCs w:val="24"/>
        </w:rPr>
      </w:pPr>
      <w:r>
        <w:rPr>
          <w:rFonts w:ascii="宋体" w:eastAsia="宋体" w:hAnsi="宋体"/>
          <w:sz w:val="24"/>
          <w:szCs w:val="24"/>
        </w:rPr>
        <w:lastRenderedPageBreak/>
        <w:t>第7章  经济增长与国际贸易</w:t>
      </w:r>
    </w:p>
    <w:p w14:paraId="415CB6EB" w14:textId="77777777" w:rsidR="00861E05" w:rsidRDefault="008A39E5" w:rsidP="0049383B">
      <w:pPr>
        <w:spacing w:beforeLines="100" w:before="312" w:afterLines="100" w:after="312" w:line="380" w:lineRule="exact"/>
        <w:rPr>
          <w:rFonts w:ascii="宋体" w:eastAsia="宋体" w:hAnsi="宋体"/>
          <w:b/>
          <w:sz w:val="24"/>
          <w:szCs w:val="24"/>
        </w:rPr>
      </w:pPr>
      <w:r>
        <w:rPr>
          <w:rFonts w:ascii="宋体" w:eastAsia="宋体" w:hAnsi="宋体"/>
          <w:b/>
          <w:sz w:val="24"/>
          <w:szCs w:val="24"/>
        </w:rPr>
        <w:t>第2部分  国际贸易政策</w:t>
      </w:r>
    </w:p>
    <w:p w14:paraId="1CE21C08" w14:textId="77777777" w:rsidR="00861E05" w:rsidRDefault="008A39E5" w:rsidP="0049383B">
      <w:pPr>
        <w:spacing w:beforeLines="100" w:before="312" w:afterLines="100" w:after="312" w:line="380" w:lineRule="exact"/>
        <w:rPr>
          <w:rFonts w:ascii="宋体" w:eastAsia="宋体" w:hAnsi="宋体"/>
          <w:sz w:val="24"/>
          <w:szCs w:val="24"/>
        </w:rPr>
      </w:pPr>
      <w:r>
        <w:rPr>
          <w:rFonts w:ascii="宋体" w:eastAsia="宋体" w:hAnsi="宋体"/>
          <w:sz w:val="24"/>
          <w:szCs w:val="24"/>
        </w:rPr>
        <w:t>第8章  贸易壁垒：关税</w:t>
      </w:r>
    </w:p>
    <w:p w14:paraId="295A1D66" w14:textId="77777777" w:rsidR="00861E05" w:rsidRDefault="008A39E5" w:rsidP="0049383B">
      <w:pPr>
        <w:spacing w:beforeLines="100" w:before="312" w:afterLines="100" w:after="312" w:line="380" w:lineRule="exact"/>
        <w:rPr>
          <w:rFonts w:ascii="宋体" w:eastAsia="宋体" w:hAnsi="宋体"/>
          <w:sz w:val="24"/>
          <w:szCs w:val="24"/>
        </w:rPr>
      </w:pPr>
      <w:r>
        <w:rPr>
          <w:rFonts w:ascii="宋体" w:eastAsia="宋体" w:hAnsi="宋体"/>
          <w:sz w:val="24"/>
          <w:szCs w:val="24"/>
        </w:rPr>
        <w:t>第9章  非关税贸易壁垒与新保护主义</w:t>
      </w:r>
    </w:p>
    <w:p w14:paraId="01269844" w14:textId="77777777" w:rsidR="00861E05" w:rsidRDefault="008A39E5" w:rsidP="0049383B">
      <w:pPr>
        <w:spacing w:beforeLines="100" w:before="312" w:afterLines="100" w:after="312" w:line="380" w:lineRule="exact"/>
        <w:rPr>
          <w:rFonts w:ascii="宋体" w:eastAsia="宋体" w:hAnsi="宋体"/>
          <w:sz w:val="24"/>
          <w:szCs w:val="24"/>
        </w:rPr>
      </w:pPr>
      <w:r>
        <w:rPr>
          <w:rFonts w:ascii="宋体" w:eastAsia="宋体" w:hAnsi="宋体"/>
          <w:sz w:val="24"/>
          <w:szCs w:val="24"/>
        </w:rPr>
        <w:t>第10章  经济一体化：关税同盟与自由贸易区</w:t>
      </w:r>
    </w:p>
    <w:p w14:paraId="40AC23BF" w14:textId="77777777" w:rsidR="00861E05" w:rsidRDefault="008A39E5" w:rsidP="0049383B">
      <w:pPr>
        <w:spacing w:beforeLines="100" w:before="312" w:afterLines="100" w:after="312" w:line="380" w:lineRule="exact"/>
        <w:rPr>
          <w:rFonts w:ascii="宋体" w:eastAsia="宋体" w:hAnsi="宋体"/>
          <w:sz w:val="24"/>
          <w:szCs w:val="24"/>
        </w:rPr>
      </w:pPr>
      <w:r>
        <w:rPr>
          <w:rFonts w:ascii="宋体" w:eastAsia="宋体" w:hAnsi="宋体"/>
          <w:sz w:val="24"/>
          <w:szCs w:val="24"/>
        </w:rPr>
        <w:t>第11章  国际贸易与经济发展</w:t>
      </w:r>
    </w:p>
    <w:p w14:paraId="26E43553" w14:textId="77777777" w:rsidR="00861E05" w:rsidRDefault="008A39E5" w:rsidP="0049383B">
      <w:pPr>
        <w:spacing w:beforeLines="100" w:before="312" w:afterLines="100" w:after="312" w:line="380" w:lineRule="exact"/>
        <w:rPr>
          <w:rFonts w:ascii="宋体" w:eastAsia="宋体" w:hAnsi="宋体"/>
          <w:sz w:val="24"/>
          <w:szCs w:val="24"/>
        </w:rPr>
      </w:pPr>
      <w:r>
        <w:rPr>
          <w:rFonts w:ascii="宋体" w:eastAsia="宋体" w:hAnsi="宋体"/>
          <w:sz w:val="24"/>
          <w:szCs w:val="24"/>
        </w:rPr>
        <w:t>第12章  国际资源流动与跨国公司</w:t>
      </w:r>
    </w:p>
    <w:p w14:paraId="1BDE756A" w14:textId="77777777" w:rsidR="00861E05" w:rsidRDefault="008A39E5" w:rsidP="0049383B">
      <w:pPr>
        <w:spacing w:beforeLines="100" w:before="312" w:afterLines="100" w:after="312" w:line="380" w:lineRule="exact"/>
        <w:rPr>
          <w:rFonts w:ascii="宋体" w:eastAsia="宋体" w:hAnsi="宋体"/>
          <w:b/>
          <w:sz w:val="24"/>
          <w:szCs w:val="24"/>
        </w:rPr>
      </w:pPr>
      <w:r>
        <w:rPr>
          <w:rFonts w:ascii="宋体" w:eastAsia="宋体" w:hAnsi="宋体"/>
          <w:b/>
          <w:sz w:val="24"/>
          <w:szCs w:val="24"/>
        </w:rPr>
        <w:t>第3部分  国际收支平衡表、外汇市场和汇率</w:t>
      </w:r>
    </w:p>
    <w:p w14:paraId="404B2931" w14:textId="77777777" w:rsidR="00861E05" w:rsidRDefault="008A39E5" w:rsidP="0049383B">
      <w:pPr>
        <w:spacing w:beforeLines="100" w:before="312" w:afterLines="100" w:after="312" w:line="380" w:lineRule="exact"/>
        <w:rPr>
          <w:rFonts w:ascii="宋体" w:eastAsia="宋体" w:hAnsi="宋体"/>
          <w:sz w:val="24"/>
          <w:szCs w:val="24"/>
        </w:rPr>
      </w:pPr>
      <w:r>
        <w:rPr>
          <w:rFonts w:ascii="宋体" w:eastAsia="宋体" w:hAnsi="宋体"/>
          <w:sz w:val="24"/>
          <w:szCs w:val="24"/>
        </w:rPr>
        <w:t>第13章  国际收支平衡表</w:t>
      </w:r>
    </w:p>
    <w:p w14:paraId="1E7813CB" w14:textId="77777777" w:rsidR="00861E05" w:rsidRDefault="008A39E5" w:rsidP="0049383B">
      <w:pPr>
        <w:spacing w:beforeLines="100" w:before="312" w:afterLines="100" w:after="312" w:line="380" w:lineRule="exact"/>
        <w:rPr>
          <w:rFonts w:ascii="宋体" w:eastAsia="宋体" w:hAnsi="宋体"/>
          <w:sz w:val="24"/>
          <w:szCs w:val="24"/>
        </w:rPr>
      </w:pPr>
      <w:r>
        <w:rPr>
          <w:rFonts w:ascii="宋体" w:eastAsia="宋体" w:hAnsi="宋体"/>
          <w:sz w:val="24"/>
          <w:szCs w:val="24"/>
        </w:rPr>
        <w:t>第14章  外汇市场与汇率</w:t>
      </w:r>
    </w:p>
    <w:p w14:paraId="7F9C2829" w14:textId="77777777" w:rsidR="00861E05" w:rsidRDefault="008A39E5" w:rsidP="0049383B">
      <w:pPr>
        <w:spacing w:beforeLines="100" w:before="312" w:afterLines="100" w:after="312" w:line="380" w:lineRule="exact"/>
        <w:rPr>
          <w:rFonts w:ascii="宋体" w:eastAsia="宋体" w:hAnsi="宋体"/>
          <w:sz w:val="24"/>
          <w:szCs w:val="24"/>
        </w:rPr>
      </w:pPr>
      <w:r>
        <w:rPr>
          <w:rFonts w:ascii="宋体" w:eastAsia="宋体" w:hAnsi="宋体"/>
          <w:sz w:val="24"/>
          <w:szCs w:val="24"/>
        </w:rPr>
        <w:t>第15章  汇率的决定</w:t>
      </w:r>
    </w:p>
    <w:p w14:paraId="24BDAFCC" w14:textId="77777777" w:rsidR="00861E05" w:rsidRDefault="008A39E5" w:rsidP="0049383B">
      <w:pPr>
        <w:spacing w:beforeLines="100" w:before="312" w:afterLines="100" w:after="312" w:line="380" w:lineRule="exact"/>
        <w:rPr>
          <w:rFonts w:ascii="宋体" w:eastAsia="宋体" w:hAnsi="宋体"/>
          <w:b/>
          <w:sz w:val="24"/>
          <w:szCs w:val="24"/>
        </w:rPr>
      </w:pPr>
      <w:r>
        <w:rPr>
          <w:rFonts w:ascii="宋体" w:eastAsia="宋体" w:hAnsi="宋体"/>
          <w:b/>
          <w:sz w:val="24"/>
          <w:szCs w:val="24"/>
        </w:rPr>
        <w:t>第4部分  开放经济宏观经济学与国际货币体系</w:t>
      </w:r>
    </w:p>
    <w:p w14:paraId="1C0DE52D" w14:textId="77777777" w:rsidR="00861E05" w:rsidRDefault="008A39E5" w:rsidP="0049383B">
      <w:pPr>
        <w:spacing w:beforeLines="100" w:before="312" w:afterLines="100" w:after="312" w:line="380" w:lineRule="exact"/>
        <w:rPr>
          <w:rFonts w:ascii="宋体" w:eastAsia="宋体" w:hAnsi="宋体"/>
          <w:sz w:val="24"/>
          <w:szCs w:val="24"/>
        </w:rPr>
      </w:pPr>
      <w:r>
        <w:rPr>
          <w:rFonts w:ascii="宋体" w:eastAsia="宋体" w:hAnsi="宋体"/>
          <w:sz w:val="24"/>
          <w:szCs w:val="24"/>
        </w:rPr>
        <w:t>第16章  浮动汇率与固定汇率制度下的价格调节机制</w:t>
      </w:r>
    </w:p>
    <w:p w14:paraId="5C1DAE70" w14:textId="77777777" w:rsidR="00861E05" w:rsidRDefault="008A39E5" w:rsidP="0049383B">
      <w:pPr>
        <w:spacing w:beforeLines="100" w:before="312" w:afterLines="100" w:after="312" w:line="380" w:lineRule="exact"/>
        <w:rPr>
          <w:rFonts w:ascii="宋体" w:eastAsia="宋体" w:hAnsi="宋体"/>
          <w:sz w:val="24"/>
          <w:szCs w:val="24"/>
        </w:rPr>
      </w:pPr>
      <w:r>
        <w:rPr>
          <w:rFonts w:ascii="宋体" w:eastAsia="宋体" w:hAnsi="宋体"/>
          <w:sz w:val="24"/>
          <w:szCs w:val="24"/>
        </w:rPr>
        <w:t>第17章  收入调节机制与自动调节的综合</w:t>
      </w:r>
    </w:p>
    <w:p w14:paraId="79B9D647" w14:textId="77777777" w:rsidR="00861E05" w:rsidRDefault="008A39E5" w:rsidP="0049383B">
      <w:pPr>
        <w:spacing w:beforeLines="100" w:before="312" w:afterLines="100" w:after="312" w:line="380" w:lineRule="exact"/>
        <w:rPr>
          <w:rFonts w:ascii="宋体" w:eastAsia="宋体" w:hAnsi="宋体"/>
          <w:sz w:val="24"/>
          <w:szCs w:val="24"/>
        </w:rPr>
      </w:pPr>
      <w:r>
        <w:rPr>
          <w:rFonts w:ascii="宋体" w:eastAsia="宋体" w:hAnsi="宋体"/>
          <w:sz w:val="24"/>
          <w:szCs w:val="24"/>
        </w:rPr>
        <w:t>第18章  开放经济宏观经济学: 调整政策</w:t>
      </w:r>
    </w:p>
    <w:p w14:paraId="695E4898" w14:textId="77777777" w:rsidR="00861E05" w:rsidRDefault="008A39E5" w:rsidP="0049383B">
      <w:pPr>
        <w:spacing w:beforeLines="100" w:before="312" w:afterLines="100" w:after="312" w:line="380" w:lineRule="exact"/>
        <w:rPr>
          <w:rFonts w:ascii="宋体" w:eastAsia="宋体" w:hAnsi="宋体"/>
          <w:sz w:val="24"/>
          <w:szCs w:val="24"/>
        </w:rPr>
      </w:pPr>
      <w:r>
        <w:rPr>
          <w:rFonts w:ascii="宋体" w:eastAsia="宋体" w:hAnsi="宋体"/>
          <w:sz w:val="24"/>
          <w:szCs w:val="24"/>
        </w:rPr>
        <w:t>第19章  开放经济中的价格与产出：总需求与总供给</w:t>
      </w:r>
    </w:p>
    <w:p w14:paraId="6113D126" w14:textId="77777777" w:rsidR="00861E05" w:rsidRDefault="008A39E5" w:rsidP="0049383B">
      <w:pPr>
        <w:spacing w:beforeLines="100" w:before="312" w:afterLines="100" w:after="312" w:line="380" w:lineRule="exact"/>
        <w:rPr>
          <w:rFonts w:ascii="宋体" w:eastAsia="宋体" w:hAnsi="宋体"/>
          <w:sz w:val="24"/>
          <w:szCs w:val="24"/>
        </w:rPr>
      </w:pPr>
      <w:r>
        <w:rPr>
          <w:rFonts w:ascii="宋体" w:eastAsia="宋体" w:hAnsi="宋体"/>
          <w:sz w:val="24"/>
          <w:szCs w:val="24"/>
        </w:rPr>
        <w:t>第20章  浮动与固定汇率、欧洲货币体系及宏观经济政策的协调</w:t>
      </w:r>
    </w:p>
    <w:p w14:paraId="504B8827" w14:textId="77777777" w:rsidR="00861E05" w:rsidRDefault="008A39E5" w:rsidP="0049383B">
      <w:pPr>
        <w:spacing w:beforeLines="100" w:before="312" w:afterLines="100" w:after="312" w:line="380" w:lineRule="exact"/>
        <w:rPr>
          <w:rFonts w:ascii="宋体" w:eastAsia="宋体" w:hAnsi="宋体"/>
          <w:b/>
          <w:sz w:val="24"/>
          <w:szCs w:val="24"/>
        </w:rPr>
      </w:pPr>
      <w:r>
        <w:rPr>
          <w:rFonts w:ascii="宋体" w:eastAsia="宋体" w:hAnsi="宋体"/>
          <w:sz w:val="24"/>
          <w:szCs w:val="24"/>
        </w:rPr>
        <w:t>第21章  国际货币体系：过去、现在与未来   </w:t>
      </w:r>
    </w:p>
    <w:p w14:paraId="7CB328D7" w14:textId="77777777" w:rsidR="00861E05" w:rsidRDefault="008A39E5" w:rsidP="0049383B">
      <w:pPr>
        <w:spacing w:beforeLines="100" w:before="312" w:afterLines="100" w:after="312" w:line="480" w:lineRule="auto"/>
        <w:ind w:firstLineChars="200" w:firstLine="482"/>
        <w:rPr>
          <w:rFonts w:ascii="仿宋" w:eastAsia="仿宋" w:hAnsi="仿宋"/>
          <w:sz w:val="28"/>
          <w:szCs w:val="28"/>
        </w:rPr>
      </w:pPr>
      <w:r>
        <w:rPr>
          <w:rFonts w:ascii="宋体" w:eastAsia="宋体" w:hAnsi="宋体" w:hint="eastAsia"/>
          <w:b/>
          <w:sz w:val="24"/>
          <w:szCs w:val="24"/>
        </w:rPr>
        <w:t>考察重点</w:t>
      </w:r>
      <w:r>
        <w:rPr>
          <w:rFonts w:ascii="宋体" w:eastAsia="宋体" w:hAnsi="宋体" w:hint="eastAsia"/>
          <w:sz w:val="24"/>
          <w:szCs w:val="24"/>
        </w:rPr>
        <w:t>：主要考察国际贸易与国际金融的基本理论，内容包括</w:t>
      </w:r>
      <w:r>
        <w:rPr>
          <w:rFonts w:ascii="宋体" w:eastAsia="宋体" w:hAnsi="宋体"/>
          <w:sz w:val="24"/>
          <w:szCs w:val="24"/>
        </w:rPr>
        <w:t>国际贸易理论、国际贸易政策、国际收支平衡表、汇率的决定理论、外汇市场 、资本在国</w:t>
      </w:r>
      <w:r>
        <w:rPr>
          <w:rFonts w:ascii="宋体" w:eastAsia="宋体" w:hAnsi="宋体"/>
          <w:sz w:val="24"/>
          <w:szCs w:val="24"/>
        </w:rPr>
        <w:lastRenderedPageBreak/>
        <w:t>际间的流动、国际收支调整、国际货币制度</w:t>
      </w:r>
      <w:r>
        <w:rPr>
          <w:rFonts w:ascii="宋体" w:eastAsia="宋体" w:hAnsi="宋体" w:hint="eastAsia"/>
          <w:sz w:val="24"/>
          <w:szCs w:val="24"/>
        </w:rPr>
        <w:t>等。</w:t>
      </w:r>
    </w:p>
    <w:p w14:paraId="06E02781" w14:textId="2B566C9D" w:rsidR="00861E05" w:rsidRPr="00D1528E" w:rsidRDefault="00861E05" w:rsidP="00D1528E">
      <w:pPr>
        <w:rPr>
          <w:rFonts w:ascii="仿宋" w:eastAsia="仿宋" w:hAnsi="仿宋" w:hint="eastAsia"/>
          <w:sz w:val="28"/>
          <w:szCs w:val="28"/>
        </w:rPr>
      </w:pPr>
    </w:p>
    <w:sectPr w:rsidR="00861E05" w:rsidRPr="00D1528E" w:rsidSect="00861E0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43FD088" w14:textId="77777777" w:rsidR="008A39E5" w:rsidRDefault="008A39E5" w:rsidP="0049383B">
      <w:r>
        <w:separator/>
      </w:r>
    </w:p>
  </w:endnote>
  <w:endnote w:type="continuationSeparator" w:id="0">
    <w:p w14:paraId="03C0E4A8" w14:textId="77777777" w:rsidR="008A39E5" w:rsidRDefault="008A39E5" w:rsidP="004938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0583C07" w14:textId="77777777" w:rsidR="008A39E5" w:rsidRDefault="008A39E5" w:rsidP="0049383B">
      <w:r>
        <w:separator/>
      </w:r>
    </w:p>
  </w:footnote>
  <w:footnote w:type="continuationSeparator" w:id="0">
    <w:p w14:paraId="11CD1281" w14:textId="77777777" w:rsidR="008A39E5" w:rsidRDefault="008A39E5" w:rsidP="0049383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99D5040"/>
    <w:multiLevelType w:val="singleLevel"/>
    <w:tmpl w:val="F99D5040"/>
    <w:lvl w:ilvl="0">
      <w:start w:val="2"/>
      <w:numFmt w:val="chineseCounting"/>
      <w:suff w:val="nothing"/>
      <w:lvlText w:val="%1、"/>
      <w:lvlJc w:val="left"/>
      <w:rPr>
        <w:rFonts w:hint="eastAsia"/>
      </w:rPr>
    </w:lvl>
  </w:abstractNum>
  <w:abstractNum w:abstractNumId="1" w15:restartNumberingAfterBreak="0">
    <w:nsid w:val="1D283354"/>
    <w:multiLevelType w:val="multilevel"/>
    <w:tmpl w:val="1D283354"/>
    <w:lvl w:ilvl="0">
      <w:start w:val="1"/>
      <w:numFmt w:val="decimalEnclosedCircle"/>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110BC3"/>
    <w:rsid w:val="00110BC3"/>
    <w:rsid w:val="0049383B"/>
    <w:rsid w:val="00581169"/>
    <w:rsid w:val="005A17F1"/>
    <w:rsid w:val="00614DD4"/>
    <w:rsid w:val="00861E05"/>
    <w:rsid w:val="008A39E5"/>
    <w:rsid w:val="00BC7128"/>
    <w:rsid w:val="00C61048"/>
    <w:rsid w:val="00D1528E"/>
    <w:rsid w:val="321A7307"/>
    <w:rsid w:val="697B101D"/>
    <w:rsid w:val="764C498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EFF89E"/>
  <w15:docId w15:val="{AC4FA9F5-C36D-4159-B2C4-1ADE13859E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61E05"/>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rsid w:val="00861E05"/>
    <w:pPr>
      <w:tabs>
        <w:tab w:val="center" w:pos="4153"/>
        <w:tab w:val="right" w:pos="8306"/>
      </w:tabs>
      <w:snapToGrid w:val="0"/>
      <w:jc w:val="left"/>
    </w:pPr>
    <w:rPr>
      <w:sz w:val="18"/>
      <w:szCs w:val="18"/>
    </w:rPr>
  </w:style>
  <w:style w:type="paragraph" w:styleId="a5">
    <w:name w:val="header"/>
    <w:basedOn w:val="a"/>
    <w:link w:val="a6"/>
    <w:uiPriority w:val="99"/>
    <w:unhideWhenUsed/>
    <w:qFormat/>
    <w:rsid w:val="00861E05"/>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qFormat/>
    <w:rsid w:val="00861E05"/>
    <w:rPr>
      <w:sz w:val="18"/>
      <w:szCs w:val="18"/>
    </w:rPr>
  </w:style>
  <w:style w:type="character" w:customStyle="1" w:styleId="a4">
    <w:name w:val="页脚 字符"/>
    <w:basedOn w:val="a0"/>
    <w:link w:val="a3"/>
    <w:uiPriority w:val="99"/>
    <w:rsid w:val="00861E05"/>
    <w:rPr>
      <w:sz w:val="18"/>
      <w:szCs w:val="18"/>
    </w:rPr>
  </w:style>
  <w:style w:type="paragraph" w:styleId="a7">
    <w:name w:val="List Paragraph"/>
    <w:basedOn w:val="a"/>
    <w:uiPriority w:val="34"/>
    <w:qFormat/>
    <w:rsid w:val="00861E05"/>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Pages>
  <Words>115</Words>
  <Characters>662</Characters>
  <Application>Microsoft Office Word</Application>
  <DocSecurity>0</DocSecurity>
  <Lines>5</Lines>
  <Paragraphs>1</Paragraphs>
  <ScaleCrop>false</ScaleCrop>
  <Company/>
  <LinksUpToDate>false</LinksUpToDate>
  <CharactersWithSpaces>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李 范坤</cp:lastModifiedBy>
  <cp:revision>8</cp:revision>
  <dcterms:created xsi:type="dcterms:W3CDTF">2020-10-19T09:11:00Z</dcterms:created>
  <dcterms:modified xsi:type="dcterms:W3CDTF">2020-11-24T13:00:00Z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