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sz w:val="32"/>
          <w:szCs w:val="32"/>
        </w:rPr>
        <w:t>辽宁大学202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/>
          <w:b/>
          <w:sz w:val="32"/>
          <w:szCs w:val="32"/>
        </w:rPr>
        <w:t>年招收攻读博士学位研究生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(</w:t>
      </w:r>
      <w:r>
        <w:rPr>
          <w:rFonts w:hint="eastAsia" w:ascii="宋体" w:hAnsi="宋体" w:eastAsia="宋体"/>
          <w:b/>
          <w:sz w:val="32"/>
          <w:szCs w:val="32"/>
        </w:rPr>
        <w:t>普通招考方式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)</w:t>
      </w:r>
    </w:p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初试科目考试大纲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科目代码：3074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科目名称：老年教育与老年法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满分：100分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老年教育与老年法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一、社会转型与老年教育</w:t>
      </w:r>
    </w:p>
    <w:p>
      <w:pPr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人口老龄化与老年教育</w:t>
      </w:r>
    </w:p>
    <w:p>
      <w:pPr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人力资源开发与老年教育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二、终身教育与老年教育</w:t>
      </w:r>
    </w:p>
    <w:p>
      <w:pPr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学习型社会与老年教育</w:t>
      </w:r>
    </w:p>
    <w:p>
      <w:pPr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继续教育与老年教育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三、老年教育政策与法规</w:t>
      </w:r>
    </w:p>
    <w:p>
      <w:pPr>
        <w:ind w:firstLine="645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</w:t>
      </w:r>
      <w:r>
        <w:rPr>
          <w:rFonts w:hint="eastAsia" w:ascii="宋体" w:hAnsi="宋体"/>
          <w:sz w:val="28"/>
          <w:szCs w:val="28"/>
        </w:rPr>
        <w:t xml:space="preserve"> 老龄事业发展与老年教育</w:t>
      </w:r>
    </w:p>
    <w:p>
      <w:pPr>
        <w:ind w:firstLine="645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</w:t>
      </w:r>
      <w:r>
        <w:rPr>
          <w:rFonts w:hint="eastAsia" w:ascii="宋体" w:hAnsi="宋体"/>
          <w:sz w:val="28"/>
          <w:szCs w:val="28"/>
        </w:rPr>
        <w:t xml:space="preserve"> 老年人权益与老年教育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四、老年教育发展规划</w:t>
      </w:r>
    </w:p>
    <w:p>
      <w:pPr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老年教育体系建设</w:t>
      </w:r>
    </w:p>
    <w:p>
      <w:pPr>
        <w:ind w:firstLine="645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老年教育基础能力建设</w:t>
      </w:r>
    </w:p>
    <w:p>
      <w:pPr>
        <w:ind w:firstLine="645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</w:t>
      </w:r>
      <w:r>
        <w:rPr>
          <w:rFonts w:hint="eastAsia" w:ascii="宋体" w:hAnsi="宋体"/>
          <w:sz w:val="28"/>
          <w:szCs w:val="28"/>
        </w:rPr>
        <w:t>老年教育队伍建设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五、老年教育体制与机制</w:t>
      </w:r>
    </w:p>
    <w:p>
      <w:pPr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政府与老年教育发展</w:t>
      </w:r>
    </w:p>
    <w:p>
      <w:pPr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社会与老年教育发展</w:t>
      </w:r>
    </w:p>
    <w:p>
      <w:pPr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国民教育与老年教育</w:t>
      </w:r>
    </w:p>
    <w:p>
      <w:pPr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老年产业与老年教育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六、老年教育组织与实施</w:t>
      </w:r>
    </w:p>
    <w:p>
      <w:pPr>
        <w:ind w:firstLine="645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</w:t>
      </w:r>
      <w:r>
        <w:rPr>
          <w:rFonts w:hint="eastAsia" w:ascii="宋体" w:hAnsi="宋体"/>
          <w:sz w:val="28"/>
          <w:szCs w:val="28"/>
        </w:rPr>
        <w:t>社区与老年教育</w:t>
      </w:r>
    </w:p>
    <w:p>
      <w:pPr>
        <w:ind w:firstLine="645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各级各类学校与老年教育</w:t>
      </w:r>
    </w:p>
    <w:p>
      <w:pPr>
        <w:ind w:firstLine="645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老年大学建设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七、老年教育资源建设</w:t>
      </w:r>
    </w:p>
    <w:p>
      <w:pPr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社会资源整合与老年教育</w:t>
      </w:r>
    </w:p>
    <w:p>
      <w:pPr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 xml:space="preserve"> 数字化资源开发与老年教育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八、信息化与老年教育</w:t>
      </w:r>
    </w:p>
    <w:p>
      <w:pPr>
        <w:ind w:firstLine="560" w:firstLineChars="200"/>
        <w:jc w:val="left"/>
        <w:rPr>
          <w:rFonts w:ascii="宋体" w:hAnsi="宋体"/>
          <w:sz w:val="28"/>
          <w:szCs w:val="28"/>
        </w:rPr>
      </w:pPr>
      <w:bookmarkStart w:id="0" w:name="_Hlk22721852"/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“互联网+”</w:t>
      </w:r>
      <w:bookmarkEnd w:id="0"/>
      <w:r>
        <w:rPr>
          <w:rFonts w:hint="eastAsia" w:ascii="宋体" w:hAnsi="宋体"/>
          <w:sz w:val="28"/>
          <w:szCs w:val="28"/>
        </w:rPr>
        <w:t>与老年教育个性化服务</w:t>
      </w:r>
    </w:p>
    <w:p>
      <w:pPr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 xml:space="preserve"> 信息技术与老年教育模式创新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九、国内外发展老年教育实践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 1.</w:t>
      </w:r>
      <w:r>
        <w:rPr>
          <w:rFonts w:hint="eastAsia" w:ascii="宋体" w:hAnsi="宋体"/>
          <w:sz w:val="28"/>
          <w:szCs w:val="28"/>
        </w:rPr>
        <w:t>联合国教科文组织与终身学习</w:t>
      </w:r>
    </w:p>
    <w:p>
      <w:pPr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</w:t>
      </w:r>
      <w:r>
        <w:rPr>
          <w:rFonts w:hint="eastAsia" w:ascii="宋体" w:hAnsi="宋体"/>
          <w:sz w:val="28"/>
          <w:szCs w:val="28"/>
        </w:rPr>
        <w:t>欧洲博洛尼亚进程（2</w:t>
      </w:r>
      <w:r>
        <w:rPr>
          <w:rFonts w:ascii="宋体" w:hAnsi="宋体"/>
          <w:sz w:val="28"/>
          <w:szCs w:val="28"/>
        </w:rPr>
        <w:t>010</w:t>
      </w:r>
      <w:r>
        <w:rPr>
          <w:rFonts w:hint="eastAsia" w:ascii="宋体" w:hAnsi="宋体"/>
          <w:sz w:val="28"/>
          <w:szCs w:val="28"/>
        </w:rPr>
        <w:t>-2</w:t>
      </w:r>
      <w:r>
        <w:rPr>
          <w:rFonts w:ascii="宋体" w:hAnsi="宋体"/>
          <w:sz w:val="28"/>
          <w:szCs w:val="28"/>
        </w:rPr>
        <w:t>020</w:t>
      </w:r>
      <w:r>
        <w:rPr>
          <w:rFonts w:hint="eastAsia" w:ascii="宋体" w:hAnsi="宋体"/>
          <w:sz w:val="28"/>
          <w:szCs w:val="28"/>
        </w:rPr>
        <w:t>）与终身学习</w:t>
      </w:r>
    </w:p>
    <w:p>
      <w:pPr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</w:t>
      </w:r>
      <w:r>
        <w:rPr>
          <w:rFonts w:hint="eastAsia" w:ascii="宋体" w:hAnsi="宋体"/>
          <w:sz w:val="28"/>
          <w:szCs w:val="28"/>
        </w:rPr>
        <w:t>日本、韩国等亚洲国家老年教育实践</w:t>
      </w:r>
    </w:p>
    <w:p>
      <w:pPr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上海、江苏等省市老年教育实践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十、老年教育法律体系建设研究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十一、老年法价值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十二、老年法地位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十三、老年法理论应然与必然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十四、老年法社会意义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十五、老年法作用与功效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十六、老年法与老年人权益保障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十七、老年法体系研究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十八、老龄化趋势与法治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十九、老龄化治理现代化与多元共治研究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二十、养老服务体系建设法治保障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二十一、老龄产业市场依法治理</w:t>
      </w:r>
    </w:p>
    <w:p>
      <w:pPr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二十二、老龄政策法律研究与国际比较</w:t>
      </w:r>
    </w:p>
    <w:p>
      <w:pPr>
        <w:jc w:val="left"/>
        <w:rPr>
          <w:rFonts w:hint="eastAsia" w:ascii="宋体" w:hAnsi="宋体"/>
          <w:sz w:val="28"/>
          <w:szCs w:val="28"/>
        </w:rPr>
      </w:pPr>
    </w:p>
    <w:p>
      <w:pPr>
        <w:jc w:val="left"/>
        <w:rPr>
          <w:rFonts w:hint="eastAsia" w:ascii="宋体" w:hAnsi="宋体"/>
          <w:sz w:val="28"/>
          <w:szCs w:val="28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162E37"/>
    <w:rsid w:val="00232963"/>
    <w:rsid w:val="002C6640"/>
    <w:rsid w:val="002E0B63"/>
    <w:rsid w:val="002E6F80"/>
    <w:rsid w:val="002F59FE"/>
    <w:rsid w:val="0030510F"/>
    <w:rsid w:val="00381A2F"/>
    <w:rsid w:val="003E3CEE"/>
    <w:rsid w:val="004F23BB"/>
    <w:rsid w:val="00567CA2"/>
    <w:rsid w:val="005F7C16"/>
    <w:rsid w:val="0071100E"/>
    <w:rsid w:val="007610B1"/>
    <w:rsid w:val="00871A99"/>
    <w:rsid w:val="00911ECF"/>
    <w:rsid w:val="009347AE"/>
    <w:rsid w:val="009C15E4"/>
    <w:rsid w:val="009D062C"/>
    <w:rsid w:val="009D2348"/>
    <w:rsid w:val="009F19B7"/>
    <w:rsid w:val="00AC3A29"/>
    <w:rsid w:val="00B679BE"/>
    <w:rsid w:val="00DA0110"/>
    <w:rsid w:val="00DE33C1"/>
    <w:rsid w:val="00F0519D"/>
    <w:rsid w:val="00F0634E"/>
    <w:rsid w:val="00F15527"/>
    <w:rsid w:val="24FA1DB1"/>
    <w:rsid w:val="3D330759"/>
    <w:rsid w:val="4DE05B45"/>
    <w:rsid w:val="590E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0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0"/>
    <w:pPr>
      <w:spacing w:line="360" w:lineRule="auto"/>
      <w:ind w:left="602" w:leftChars="172" w:hanging="120" w:hangingChars="50"/>
    </w:pPr>
    <w:rPr>
      <w:rFonts w:ascii="黑体" w:hAnsi="黑体" w:eastAsia="黑体" w:cs="宋体"/>
      <w:color w:val="000000"/>
      <w:kern w:val="0"/>
      <w:sz w:val="24"/>
      <w:szCs w:val="24"/>
      <w:lang w:val="en-US" w:eastAsia="zh-CN" w:bidi="ar-SA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107</Words>
  <Characters>614</Characters>
  <Lines>5</Lines>
  <Paragraphs>1</Paragraphs>
  <TotalTime>0</TotalTime>
  <ScaleCrop>false</ScaleCrop>
  <LinksUpToDate>false</LinksUpToDate>
  <CharactersWithSpaces>720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2019-10-28T07:57:00Z</dcterms:created>
  <dc:creator>hp</dc:creator>
  <cp:lastModifiedBy>Administrator</cp:lastModifiedBy>
  <cp:lastPrinted>2020-10-28T06:33:00Z</cp:lastPrinted>
  <dcterms:modified xsi:type="dcterms:W3CDTF">2020-12-04T06:49:17Z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