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810E1" w14:textId="77777777" w:rsidR="007A0386" w:rsidRDefault="007A0386">
      <w:pPr>
        <w:rPr>
          <w:rFonts w:ascii="仿宋" w:eastAsia="仿宋" w:hAnsi="仿宋"/>
          <w:sz w:val="24"/>
          <w:szCs w:val="24"/>
        </w:rPr>
      </w:pPr>
    </w:p>
    <w:p w14:paraId="39EC37EB" w14:textId="77777777" w:rsidR="007A0386" w:rsidRDefault="0051556D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14:paraId="362A0458" w14:textId="77777777" w:rsidR="007A0386" w:rsidRDefault="0051556D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04F572DF" w14:textId="77777777" w:rsidR="007A0386" w:rsidRDefault="007A0386">
      <w:pPr>
        <w:rPr>
          <w:rFonts w:ascii="仿宋" w:eastAsia="仿宋" w:hAnsi="仿宋"/>
          <w:sz w:val="28"/>
          <w:szCs w:val="28"/>
        </w:rPr>
      </w:pPr>
    </w:p>
    <w:p w14:paraId="574492C0" w14:textId="14458398" w:rsidR="007A0386" w:rsidRDefault="0051556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/>
          <w:sz w:val="28"/>
          <w:szCs w:val="28"/>
        </w:rPr>
        <w:t>3043</w:t>
      </w:r>
    </w:p>
    <w:p w14:paraId="7CBEC35C" w14:textId="49D61930" w:rsidR="007A0386" w:rsidRDefault="0051556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分析化学前沿领域</w:t>
      </w:r>
    </w:p>
    <w:p w14:paraId="3D59AB0A" w14:textId="77777777" w:rsidR="007A0386" w:rsidRDefault="0051556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14:paraId="340379F9" w14:textId="77777777" w:rsidR="007A0386" w:rsidRDefault="0051556D">
      <w:pPr>
        <w:widowControl/>
        <w:spacing w:line="360" w:lineRule="auto"/>
        <w:jc w:val="left"/>
        <w:outlineLvl w:val="1"/>
        <w:rPr>
          <w:rStyle w:val="1Char"/>
          <w:rFonts w:ascii="宋体" w:eastAsia="宋体" w:hAnsi="宋体" w:cs="宋体"/>
          <w:sz w:val="24"/>
          <w:szCs w:val="24"/>
        </w:rPr>
      </w:pPr>
      <w:r>
        <w:rPr>
          <w:rStyle w:val="2Char"/>
          <w:rFonts w:ascii="宋体" w:eastAsia="宋体" w:hAnsi="宋体" w:cs="宋体" w:hint="eastAsia"/>
          <w:szCs w:val="24"/>
        </w:rPr>
        <w:t xml:space="preserve">1.  </w:t>
      </w:r>
      <w:r>
        <w:rPr>
          <w:rStyle w:val="2Char"/>
          <w:rFonts w:ascii="宋体" w:eastAsia="宋体" w:hAnsi="宋体" w:cs="宋体" w:hint="eastAsia"/>
          <w:szCs w:val="24"/>
        </w:rPr>
        <w:t>分析化学已发展到分析科学阶段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分析化学研究什么特殊矛盾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分析化学三要素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1.3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分析化学的发展规律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分析化学已经发展到分析科学阶段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>2.  21</w:t>
      </w:r>
      <w:r>
        <w:rPr>
          <w:rStyle w:val="2Char"/>
          <w:rFonts w:ascii="宋体" w:eastAsia="宋体" w:hAnsi="宋体" w:cs="宋体" w:hint="eastAsia"/>
          <w:szCs w:val="24"/>
        </w:rPr>
        <w:t>世纪分析化学展望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仪器分析和分析科学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现代分析化学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2.4  21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世纪社会和科技发展都需要分析化学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2.5  21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世纪分析化学展望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3.  </w:t>
      </w:r>
      <w:r>
        <w:rPr>
          <w:rStyle w:val="2Char"/>
          <w:rFonts w:ascii="宋体" w:eastAsia="宋体" w:hAnsi="宋体" w:cs="宋体" w:hint="eastAsia"/>
          <w:szCs w:val="24"/>
        </w:rPr>
        <w:t>分析化学的信息与化学计量学的发展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3.1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科学技术发展的信息化趋势：分析化学与化学计量学的关系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3.2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采样、试验设计与优化——获取化学信息的起点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3.3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化学量测数据的校正与分辨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3.4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化学计量学方法的稳健化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3.5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人工神经网络等用于非线性校正、化学模式识别及构效关系等研究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3.6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化学计量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学教学及其它</w:t>
      </w:r>
    </w:p>
    <w:p w14:paraId="046B090C" w14:textId="77777777" w:rsidR="007A0386" w:rsidRDefault="0051556D">
      <w:pPr>
        <w:widowControl/>
        <w:spacing w:line="360" w:lineRule="auto"/>
        <w:jc w:val="left"/>
        <w:outlineLvl w:val="1"/>
        <w:rPr>
          <w:rStyle w:val="1Char"/>
          <w:rFonts w:ascii="宋体" w:eastAsia="宋体" w:hAnsi="宋体" w:cs="宋体"/>
          <w:sz w:val="24"/>
          <w:szCs w:val="24"/>
        </w:rPr>
      </w:pPr>
      <w:r>
        <w:rPr>
          <w:rStyle w:val="2Char"/>
          <w:rFonts w:ascii="宋体" w:eastAsia="宋体" w:hAnsi="宋体" w:cs="宋体" w:hint="eastAsia"/>
          <w:szCs w:val="24"/>
        </w:rPr>
        <w:t xml:space="preserve">4.  </w:t>
      </w:r>
      <w:r>
        <w:rPr>
          <w:rStyle w:val="2Char"/>
          <w:rFonts w:ascii="宋体" w:eastAsia="宋体" w:hAnsi="宋体" w:cs="宋体" w:hint="eastAsia"/>
          <w:szCs w:val="24"/>
        </w:rPr>
        <w:t>展望</w:t>
      </w:r>
      <w:r>
        <w:rPr>
          <w:rStyle w:val="2Char"/>
          <w:rFonts w:ascii="宋体" w:eastAsia="宋体" w:hAnsi="宋体" w:cs="宋体" w:hint="eastAsia"/>
          <w:szCs w:val="24"/>
        </w:rPr>
        <w:t>21</w:t>
      </w:r>
      <w:r>
        <w:rPr>
          <w:rStyle w:val="2Char"/>
          <w:rFonts w:ascii="宋体" w:eastAsia="宋体" w:hAnsi="宋体" w:cs="宋体" w:hint="eastAsia"/>
          <w:szCs w:val="24"/>
        </w:rPr>
        <w:t>世纪的分析科学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4.1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总目标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4.2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灵敏度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lastRenderedPageBreak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4.3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检测原理、技术及分析仪器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5.  </w:t>
      </w:r>
      <w:r>
        <w:rPr>
          <w:rStyle w:val="2Char"/>
          <w:rFonts w:ascii="宋体" w:eastAsia="宋体" w:hAnsi="宋体" w:cs="宋体" w:hint="eastAsia"/>
          <w:szCs w:val="24"/>
        </w:rPr>
        <w:t>原子光谱分析法的最新进展和发展趋势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5.1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辐射源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5.2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激发光源、原子化器和离子化源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5.3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波长选择系统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5.4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检测系统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5.5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质量分析器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5.6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样品引入系统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5.7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原子光谱法的发展趋势</w:t>
      </w:r>
    </w:p>
    <w:p w14:paraId="1946BEB2" w14:textId="77777777" w:rsidR="007A0386" w:rsidRDefault="0051556D">
      <w:pPr>
        <w:widowControl/>
        <w:spacing w:line="360" w:lineRule="auto"/>
        <w:jc w:val="left"/>
        <w:outlineLvl w:val="1"/>
        <w:rPr>
          <w:rStyle w:val="1Char"/>
          <w:rFonts w:ascii="宋体" w:eastAsia="宋体" w:hAnsi="宋体" w:cs="宋体"/>
          <w:sz w:val="24"/>
          <w:szCs w:val="24"/>
        </w:rPr>
      </w:pPr>
      <w:r>
        <w:rPr>
          <w:rStyle w:val="2Char"/>
          <w:rFonts w:ascii="宋体" w:eastAsia="宋体" w:hAnsi="宋体" w:cs="宋体" w:hint="eastAsia"/>
          <w:szCs w:val="24"/>
        </w:rPr>
        <w:t xml:space="preserve">6.  </w:t>
      </w:r>
      <w:r>
        <w:rPr>
          <w:rStyle w:val="2Char"/>
          <w:rFonts w:ascii="宋体" w:eastAsia="宋体" w:hAnsi="宋体" w:cs="宋体" w:hint="eastAsia"/>
          <w:szCs w:val="24"/>
        </w:rPr>
        <w:t>近代电分析化学的发展</w:t>
      </w:r>
      <w:r>
        <w:rPr>
          <w:rStyle w:val="2Char"/>
          <w:rFonts w:ascii="宋体" w:eastAsia="宋体" w:hAnsi="宋体" w:cs="宋体" w:hint="eastAsia"/>
          <w:szCs w:val="24"/>
        </w:rPr>
        <w:t xml:space="preserve"> 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6.1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电分析化学方法的进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6.2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交叉学科联用技术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6.3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在生命科学中的研究与应用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7.  </w:t>
      </w:r>
      <w:r>
        <w:rPr>
          <w:rStyle w:val="2Char"/>
          <w:rFonts w:ascii="宋体" w:eastAsia="宋体" w:hAnsi="宋体" w:cs="宋体" w:hint="eastAsia"/>
          <w:szCs w:val="24"/>
        </w:rPr>
        <w:t>面临新世纪的流动分析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7.1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作为高效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 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引入及处理手段的流动分析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7.2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作为联用界面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(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接口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)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的流动分析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7.3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流动分析的微型化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7.4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可更新反应表面的流动分析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7.5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过程监测流动分析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7.6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流动分析教学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8.  </w:t>
      </w:r>
      <w:r>
        <w:rPr>
          <w:rStyle w:val="2Char"/>
          <w:rFonts w:ascii="宋体" w:eastAsia="宋体" w:hAnsi="宋体" w:cs="宋体" w:hint="eastAsia"/>
          <w:szCs w:val="24"/>
        </w:rPr>
        <w:t>激光分析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8.1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激光拉曼光谱分析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8.2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激光诱导荧光光谱分析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8.3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激光光声光谱分析和激光光热光谱分析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8.4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激光电离光谱分析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8.5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其它激光分析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9.  </w:t>
      </w:r>
      <w:r>
        <w:rPr>
          <w:rStyle w:val="2Char"/>
          <w:rFonts w:ascii="宋体" w:eastAsia="宋体" w:hAnsi="宋体" w:cs="宋体" w:hint="eastAsia"/>
          <w:szCs w:val="24"/>
        </w:rPr>
        <w:t>现代近红外光谱分析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9.1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近红外光谱分析的发展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9.2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近红外光谱的产生、测定原理及特点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lastRenderedPageBreak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9.3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近红外光谱仪器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9.4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近红外光谱定性、定理方法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9.5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现代近红外光谱分析的应用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10.  </w:t>
      </w:r>
      <w:r>
        <w:rPr>
          <w:rStyle w:val="2Char"/>
          <w:rFonts w:ascii="宋体" w:eastAsia="宋体" w:hAnsi="宋体" w:cs="宋体" w:hint="eastAsia"/>
          <w:szCs w:val="24"/>
        </w:rPr>
        <w:t>紫外</w:t>
      </w:r>
      <w:r>
        <w:rPr>
          <w:rStyle w:val="2Char"/>
          <w:rFonts w:ascii="宋体" w:eastAsia="宋体" w:hAnsi="宋体" w:cs="宋体" w:hint="eastAsia"/>
          <w:szCs w:val="24"/>
        </w:rPr>
        <w:t>-</w:t>
      </w:r>
      <w:r>
        <w:rPr>
          <w:rStyle w:val="2Char"/>
          <w:rFonts w:ascii="宋体" w:eastAsia="宋体" w:hAnsi="宋体" w:cs="宋体" w:hint="eastAsia"/>
          <w:szCs w:val="24"/>
        </w:rPr>
        <w:t>可见分光光度分析的现状和展望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10.1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试剂和反应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10.2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分析和分离技术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10.3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信号及数据处理技术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10.4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光度分析装置和仪器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11. </w:t>
      </w:r>
      <w:r>
        <w:rPr>
          <w:rStyle w:val="2Char"/>
          <w:rFonts w:ascii="宋体" w:eastAsia="宋体" w:hAnsi="宋体" w:cs="宋体" w:hint="eastAsia"/>
          <w:szCs w:val="24"/>
        </w:rPr>
        <w:t>毛细管电泳展望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11.1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毛细管电泳的兴起与发展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11.2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毛细管电泳基本原理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11.3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毛细管电泳分离模式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11.4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毛细管电泳柱技术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11.5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毛细管电泳检测技术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11.6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毛细管电泳的一些发展动向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11.7  21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世纪毛细管电泳发展趋势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12.  </w:t>
      </w:r>
      <w:r>
        <w:rPr>
          <w:rStyle w:val="2Char"/>
          <w:rFonts w:ascii="宋体" w:eastAsia="宋体" w:hAnsi="宋体" w:cs="宋体" w:hint="eastAsia"/>
          <w:szCs w:val="24"/>
        </w:rPr>
        <w:t>生物质谱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12.</w:t>
      </w:r>
      <w:r>
        <w:rPr>
          <w:rStyle w:val="1Char"/>
          <w:rFonts w:ascii="宋体" w:eastAsia="宋体" w:hAnsi="宋体" w:cs="宋体"/>
          <w:sz w:val="24"/>
          <w:szCs w:val="24"/>
        </w:rPr>
        <w:t>1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多肽和蛋白质质谱分析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12.</w:t>
      </w:r>
      <w:r>
        <w:rPr>
          <w:rStyle w:val="1Char"/>
          <w:rFonts w:ascii="宋体" w:eastAsia="宋体" w:hAnsi="宋体" w:cs="宋体"/>
          <w:sz w:val="24"/>
          <w:szCs w:val="24"/>
        </w:rPr>
        <w:t>2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Style w:val="1Char"/>
          <w:rFonts w:ascii="宋体" w:eastAsia="宋体" w:hAnsi="宋体" w:cs="宋体"/>
          <w:sz w:val="24"/>
          <w:szCs w:val="24"/>
        </w:rPr>
        <w:t xml:space="preserve">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核酸质谱分析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12.</w:t>
      </w:r>
      <w:r>
        <w:rPr>
          <w:rStyle w:val="1Char"/>
          <w:rFonts w:ascii="宋体" w:eastAsia="宋体" w:hAnsi="宋体" w:cs="宋体"/>
          <w:sz w:val="24"/>
          <w:szCs w:val="24"/>
        </w:rPr>
        <w:t>3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糖类质谱分析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13.  </w:t>
      </w:r>
      <w:r>
        <w:rPr>
          <w:rStyle w:val="2Char"/>
          <w:rFonts w:ascii="宋体" w:eastAsia="宋体" w:hAnsi="宋体" w:cs="宋体" w:hint="eastAsia"/>
          <w:szCs w:val="24"/>
        </w:rPr>
        <w:t>复杂样品的分离分析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13.1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复杂样品分析的基本思路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13.2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复杂样品组成的多模式多柱色谱及联用技术的综合分离分析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13.3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复杂样品分析的理论基础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13.4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在中药一控制中的应用</w:t>
      </w:r>
    </w:p>
    <w:p w14:paraId="4A0E6205" w14:textId="77777777" w:rsidR="007A0386" w:rsidRDefault="0051556D">
      <w:pPr>
        <w:widowControl/>
        <w:spacing w:line="360" w:lineRule="auto"/>
        <w:jc w:val="left"/>
        <w:outlineLvl w:val="1"/>
        <w:rPr>
          <w:rStyle w:val="1Char"/>
          <w:rFonts w:ascii="宋体" w:eastAsia="宋体" w:hAnsi="宋体" w:cs="宋体"/>
          <w:sz w:val="24"/>
          <w:szCs w:val="24"/>
        </w:rPr>
      </w:pPr>
      <w:r>
        <w:rPr>
          <w:rStyle w:val="2Char"/>
          <w:rFonts w:ascii="宋体" w:eastAsia="宋体" w:hAnsi="宋体" w:cs="宋体" w:hint="eastAsia"/>
          <w:szCs w:val="24"/>
        </w:rPr>
        <w:t xml:space="preserve">14.  </w:t>
      </w:r>
      <w:r>
        <w:rPr>
          <w:rStyle w:val="2Char"/>
          <w:rFonts w:ascii="宋体" w:eastAsia="宋体" w:hAnsi="宋体" w:cs="宋体" w:hint="eastAsia"/>
          <w:szCs w:val="24"/>
        </w:rPr>
        <w:t>人类基因组和脱氧核糖核酸序列分析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14.</w:t>
      </w:r>
      <w:r>
        <w:rPr>
          <w:rStyle w:val="1Char"/>
          <w:rFonts w:ascii="宋体" w:eastAsia="宋体" w:hAnsi="宋体" w:cs="宋体"/>
          <w:sz w:val="24"/>
          <w:szCs w:val="24"/>
        </w:rPr>
        <w:t>1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人类基因组研究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14.</w:t>
      </w:r>
      <w:r>
        <w:rPr>
          <w:rStyle w:val="1Char"/>
          <w:rFonts w:ascii="宋体" w:eastAsia="宋体" w:hAnsi="宋体" w:cs="宋体"/>
          <w:sz w:val="24"/>
          <w:szCs w:val="24"/>
        </w:rPr>
        <w:t>2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人类基因组研究对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DNA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测序要求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14.</w:t>
      </w:r>
      <w:r>
        <w:rPr>
          <w:rStyle w:val="1Char"/>
          <w:rFonts w:ascii="宋体" w:eastAsia="宋体" w:hAnsi="宋体" w:cs="宋体"/>
          <w:sz w:val="24"/>
          <w:szCs w:val="24"/>
        </w:rPr>
        <w:t>3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DNA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序列分析进展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lastRenderedPageBreak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14.</w:t>
      </w:r>
      <w:r>
        <w:rPr>
          <w:rStyle w:val="1Char"/>
          <w:rFonts w:ascii="宋体" w:eastAsia="宋体" w:hAnsi="宋体" w:cs="宋体"/>
          <w:sz w:val="24"/>
          <w:szCs w:val="24"/>
        </w:rPr>
        <w:t>4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医学应用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15.  </w:t>
      </w:r>
      <w:r>
        <w:rPr>
          <w:rStyle w:val="2Char"/>
          <w:rFonts w:ascii="宋体" w:eastAsia="宋体" w:hAnsi="宋体" w:cs="宋体" w:hint="eastAsia"/>
          <w:szCs w:val="24"/>
        </w:rPr>
        <w:t>生命科学与电分析化学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15.1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卟啉、金属卟啉的电化学分析研究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15.2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生物自组装膜的模拟和电化学行为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15.3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酶催化功能和微金属元素的作用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16.  </w:t>
      </w:r>
      <w:r>
        <w:rPr>
          <w:rStyle w:val="2Char"/>
          <w:rFonts w:ascii="宋体" w:eastAsia="宋体" w:hAnsi="宋体" w:cs="宋体" w:hint="eastAsia"/>
          <w:szCs w:val="24"/>
        </w:rPr>
        <w:t>超分子电分析化学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16.1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超分子化学的基本性质</w:t>
      </w:r>
    </w:p>
    <w:p w14:paraId="24D32BDD" w14:textId="77777777" w:rsidR="007A0386" w:rsidRDefault="0051556D">
      <w:pPr>
        <w:widowControl/>
        <w:spacing w:line="360" w:lineRule="auto"/>
        <w:jc w:val="left"/>
        <w:outlineLvl w:val="1"/>
        <w:rPr>
          <w:rFonts w:ascii="宋体" w:eastAsia="宋体" w:hAnsi="宋体" w:cs="宋体"/>
          <w:sz w:val="24"/>
          <w:szCs w:val="24"/>
        </w:rPr>
      </w:pP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16.2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超分子分析化学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16.3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超分子电分析化学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17.  </w:t>
      </w:r>
      <w:r>
        <w:rPr>
          <w:rStyle w:val="2Char"/>
          <w:rFonts w:ascii="宋体" w:eastAsia="宋体" w:hAnsi="宋体" w:cs="宋体" w:hint="eastAsia"/>
          <w:szCs w:val="24"/>
        </w:rPr>
        <w:t>细胞生物电化学分析研究进展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17.1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细胞电化学分析基本原理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17.2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细胞与染料分子之间的能量传递及其在生化分析中的应用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17.3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细胞介电行为及欺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 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在生化分析中的应用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17.4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细胞电化学阻抗行为及其在生化分析中的应用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17.5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细胞电化学氧化行为及其在生化分析中的应用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17.6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细胞光电化学行为及其在生化分析中的应用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17.7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电磁场作用下的细胞生物、生理行为分析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18.  </w:t>
      </w:r>
      <w:r>
        <w:rPr>
          <w:rStyle w:val="2Char"/>
          <w:rFonts w:ascii="宋体" w:eastAsia="宋体" w:hAnsi="宋体" w:cs="宋体" w:hint="eastAsia"/>
          <w:szCs w:val="24"/>
        </w:rPr>
        <w:t>生物传感器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18.1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生物传感器研究动态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18.2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生物传感器原理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18.3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生物传感器分类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18.4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结语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19.  </w:t>
      </w:r>
      <w:r>
        <w:rPr>
          <w:rStyle w:val="2Char"/>
          <w:rFonts w:ascii="宋体" w:eastAsia="宋体" w:hAnsi="宋体" w:cs="宋体" w:hint="eastAsia"/>
          <w:szCs w:val="24"/>
        </w:rPr>
        <w:t>光导纤维生物传感器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19.1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光导纤维生物传感器的结构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19.2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光导纤维生物传感器的分类</w:t>
      </w:r>
      <w:r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20.  </w:t>
      </w:r>
      <w:r>
        <w:rPr>
          <w:rStyle w:val="2Char"/>
          <w:rFonts w:ascii="宋体" w:eastAsia="宋体" w:hAnsi="宋体" w:cs="宋体" w:hint="eastAsia"/>
          <w:szCs w:val="24"/>
        </w:rPr>
        <w:t>压电化学与生物传感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20.1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传感原理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20.2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血液流变学压电传感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20.3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嗅敏与其它仿生传感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lastRenderedPageBreak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20.4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酶、免疫与其它生物传感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20.5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压电传感器用于物理化学过程研究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20.6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压电液相化学分析技术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20.7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发展展望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21.  </w:t>
      </w:r>
      <w:r>
        <w:rPr>
          <w:rStyle w:val="2Char"/>
          <w:rFonts w:ascii="宋体" w:eastAsia="宋体" w:hAnsi="宋体" w:cs="宋体" w:hint="eastAsia"/>
          <w:szCs w:val="24"/>
        </w:rPr>
        <w:t>生物传感器在军事医学中的发展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21.1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生物传感器的原理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21.2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酶传感器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21.3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抗体和受体传感器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21.4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基因传感器与基因芯片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22.  </w:t>
      </w:r>
      <w:r>
        <w:rPr>
          <w:rStyle w:val="2Char"/>
          <w:rFonts w:ascii="宋体" w:eastAsia="宋体" w:hAnsi="宋体" w:cs="宋体" w:hint="eastAsia"/>
          <w:szCs w:val="24"/>
        </w:rPr>
        <w:t>小分子发光免疫分析及其进展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22.1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抗原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22.2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抗体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22.3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抗原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-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抗体反应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22.4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非标记免疫分析和标记免疫分析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22.5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免疫分析的热点和趋势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23.  </w:t>
      </w:r>
      <w:r>
        <w:rPr>
          <w:rStyle w:val="2Char"/>
          <w:rFonts w:ascii="宋体" w:eastAsia="宋体" w:hAnsi="宋体" w:cs="宋体" w:hint="eastAsia"/>
          <w:szCs w:val="24"/>
        </w:rPr>
        <w:t>生物分析化学中新试剂的进展与展望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23.1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大环化合物超分子分析试剂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23.2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非大环的试剂的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探针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23.3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酶法分析试剂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23.4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免疫分析试剂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23.5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其它试剂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24.  </w:t>
      </w:r>
      <w:r>
        <w:rPr>
          <w:rStyle w:val="2Char"/>
          <w:rFonts w:ascii="宋体" w:eastAsia="宋体" w:hAnsi="宋体" w:cs="宋体" w:hint="eastAsia"/>
          <w:szCs w:val="24"/>
        </w:rPr>
        <w:t>药物分析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24.1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药典与分析方法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24.2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新药研究与开发中的药物分析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24.3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药物分析方法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24.4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药物代谢研究中的分析工作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24.5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手性药物的分离分析方法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25.  </w:t>
      </w:r>
      <w:r>
        <w:rPr>
          <w:rStyle w:val="2Char"/>
          <w:rFonts w:ascii="宋体" w:eastAsia="宋体" w:hAnsi="宋体" w:cs="宋体" w:hint="eastAsia"/>
          <w:szCs w:val="24"/>
        </w:rPr>
        <w:t>环境分析化学发展趋势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25.1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环境分析样品前处理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lastRenderedPageBreak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25.2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各种色谱技术的进展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25.3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光谱、质谱和其它方面的进展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25.4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联用技术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25.5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与生物学科的结合促进环境分析化学的发展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25.6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计算机的推广应用促进环境分析化学发展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25.7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环境分析化学的质量保证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26. </w:t>
      </w:r>
      <w:r>
        <w:rPr>
          <w:rStyle w:val="2Char"/>
          <w:rFonts w:ascii="宋体" w:eastAsia="宋体" w:hAnsi="宋体" w:cs="宋体" w:hint="eastAsia"/>
          <w:szCs w:val="24"/>
        </w:rPr>
        <w:t>熔融金属成分直接分析现状及展望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26.1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浸入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(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熔体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)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式探头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26.2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熔体直接激发光谱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26.3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试样引出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-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等离子体光谱法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  <w:r>
        <w:rPr>
          <w:rStyle w:val="2Char"/>
          <w:rFonts w:ascii="宋体" w:eastAsia="宋体" w:hAnsi="宋体" w:cs="宋体" w:hint="eastAsia"/>
          <w:szCs w:val="24"/>
        </w:rPr>
        <w:t xml:space="preserve">27.  </w:t>
      </w:r>
      <w:r>
        <w:rPr>
          <w:rStyle w:val="2Char"/>
          <w:rFonts w:ascii="宋体" w:eastAsia="宋体" w:hAnsi="宋体" w:cs="宋体" w:hint="eastAsia"/>
          <w:szCs w:val="24"/>
        </w:rPr>
        <w:t>环糊精及其衍生物作为分析增效试剂的发展</w:t>
      </w: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br/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27.1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理论研究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27.2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衍生物的制备及问题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27.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3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用于分析的增效试剂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27.4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两大热点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27.5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用于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CE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的环糊精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 xml:space="preserve">27.6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对映体分离原理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  <w:t xml:space="preserve">    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§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27.7  CE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t>的模式</w:t>
      </w:r>
      <w:r>
        <w:rPr>
          <w:rStyle w:val="1Char"/>
          <w:rFonts w:ascii="宋体" w:eastAsia="宋体" w:hAnsi="宋体" w:cs="宋体" w:hint="eastAsia"/>
          <w:sz w:val="24"/>
          <w:szCs w:val="24"/>
        </w:rPr>
        <w:br/>
      </w:r>
    </w:p>
    <w:p w14:paraId="54469327" w14:textId="77777777" w:rsidR="007A0386" w:rsidRDefault="007A0386">
      <w:pPr>
        <w:rPr>
          <w:rFonts w:ascii="仿宋" w:eastAsia="仿宋" w:hAnsi="仿宋"/>
          <w:sz w:val="28"/>
          <w:szCs w:val="28"/>
        </w:rPr>
      </w:pPr>
    </w:p>
    <w:sectPr w:rsidR="007A03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0556E8"/>
    <w:rsid w:val="000A3030"/>
    <w:rsid w:val="00110BC3"/>
    <w:rsid w:val="00327097"/>
    <w:rsid w:val="00340A29"/>
    <w:rsid w:val="0037208B"/>
    <w:rsid w:val="00493EBC"/>
    <w:rsid w:val="0051556D"/>
    <w:rsid w:val="00581169"/>
    <w:rsid w:val="005A17F1"/>
    <w:rsid w:val="005D54AA"/>
    <w:rsid w:val="00614DD4"/>
    <w:rsid w:val="007A0386"/>
    <w:rsid w:val="008B16D2"/>
    <w:rsid w:val="0094308B"/>
    <w:rsid w:val="009E34F0"/>
    <w:rsid w:val="009F51B1"/>
    <w:rsid w:val="00AE4C4F"/>
    <w:rsid w:val="00BC7128"/>
    <w:rsid w:val="00C61048"/>
    <w:rsid w:val="00F56B21"/>
    <w:rsid w:val="00F82C70"/>
    <w:rsid w:val="0AF26F94"/>
    <w:rsid w:val="0D0F124C"/>
    <w:rsid w:val="0F377374"/>
    <w:rsid w:val="1B9973FE"/>
    <w:rsid w:val="292B4769"/>
    <w:rsid w:val="3B614BDD"/>
    <w:rsid w:val="45DA1BA0"/>
    <w:rsid w:val="550E5DD5"/>
    <w:rsid w:val="7828351F"/>
    <w:rsid w:val="7A44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1FE8CC"/>
  <w15:docId w15:val="{50C681B0-43B8-4E32-9F9D-1EEE1F974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uiPriority="0" w:qFormat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authorities"/>
    <w:basedOn w:val="a"/>
    <w:next w:val="a"/>
    <w:qFormat/>
    <w:pPr>
      <w:ind w:leftChars="200" w:left="42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9">
    <w:name w:val="Strong"/>
    <w:basedOn w:val="a0"/>
    <w:qFormat/>
    <w:rPr>
      <w:b/>
      <w:bCs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2Char">
    <w:name w:val="样式2 Char"/>
    <w:link w:val="2"/>
    <w:qFormat/>
    <w:rPr>
      <w:b/>
      <w:sz w:val="24"/>
    </w:rPr>
  </w:style>
  <w:style w:type="paragraph" w:customStyle="1" w:styleId="2">
    <w:name w:val="样式2"/>
    <w:basedOn w:val="a3"/>
    <w:link w:val="2Char"/>
    <w:qFormat/>
    <w:rPr>
      <w:b/>
      <w:sz w:val="24"/>
    </w:rPr>
  </w:style>
  <w:style w:type="character" w:customStyle="1" w:styleId="1Char">
    <w:name w:val="样式1 Char"/>
    <w:link w:val="1"/>
    <w:qFormat/>
  </w:style>
  <w:style w:type="paragraph" w:customStyle="1" w:styleId="1">
    <w:name w:val="样式1"/>
    <w:basedOn w:val="a3"/>
    <w:link w:val="1Char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5B560E6E-59A7-4984-8940-7A0EB1A0383F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 范坤</cp:lastModifiedBy>
  <cp:revision>18</cp:revision>
  <cp:lastPrinted>2020-11-16T06:20:00Z</cp:lastPrinted>
  <dcterms:created xsi:type="dcterms:W3CDTF">2020-10-19T09:11:00Z</dcterms:created>
  <dcterms:modified xsi:type="dcterms:W3CDTF">2020-11-24T13:25:00Z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