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黑体" w:hAnsi="黑体" w:eastAsia="黑体" w:cs="Times New Roman"/>
          <w:b/>
          <w:bCs/>
          <w:color w:val="auto"/>
          <w:kern w:val="0"/>
          <w:sz w:val="32"/>
          <w:szCs w:val="32"/>
        </w:rPr>
      </w:pPr>
      <w:r>
        <w:rPr>
          <w:rFonts w:ascii="黑体" w:hAnsi="黑体" w:eastAsia="黑体" w:cs="Times New Roman"/>
          <w:b/>
          <w:bCs/>
          <w:color w:val="auto"/>
          <w:kern w:val="0"/>
          <w:sz w:val="32"/>
          <w:szCs w:val="32"/>
        </w:rPr>
        <w:t>安徽大学社会与政治学院</w:t>
      </w:r>
    </w:p>
    <w:p>
      <w:pPr>
        <w:snapToGrid w:val="0"/>
        <w:spacing w:line="360" w:lineRule="auto"/>
        <w:jc w:val="center"/>
        <w:rPr>
          <w:rFonts w:ascii="Times New Roman" w:hAnsi="Times New Roman" w:eastAsia="宋体" w:cs="Times New Roman"/>
          <w:b/>
          <w:bCs/>
          <w:color w:val="auto"/>
          <w:kern w:val="0"/>
          <w:sz w:val="30"/>
          <w:szCs w:val="30"/>
        </w:rPr>
      </w:pPr>
      <w:r>
        <w:rPr>
          <w:rFonts w:ascii="Times New Roman" w:hAnsi="Times New Roman" w:eastAsia="宋体" w:cs="Times New Roman"/>
          <w:b/>
          <w:bCs/>
          <w:color w:val="auto"/>
          <w:kern w:val="0"/>
          <w:sz w:val="30"/>
          <w:szCs w:val="30"/>
        </w:rPr>
        <w:t>20</w:t>
      </w:r>
      <w:r>
        <w:rPr>
          <w:rFonts w:hint="eastAsia" w:ascii="Times New Roman" w:hAnsi="Times New Roman" w:eastAsia="宋体" w:cs="Times New Roman"/>
          <w:b/>
          <w:bCs/>
          <w:color w:val="auto"/>
          <w:kern w:val="0"/>
          <w:sz w:val="30"/>
          <w:szCs w:val="30"/>
        </w:rPr>
        <w:t>2</w:t>
      </w:r>
      <w:r>
        <w:rPr>
          <w:rFonts w:hint="eastAsia" w:ascii="Times New Roman" w:hAnsi="Times New Roman" w:eastAsia="宋体" w:cs="Times New Roman"/>
          <w:b/>
          <w:bCs/>
          <w:color w:val="auto"/>
          <w:kern w:val="0"/>
          <w:sz w:val="30"/>
          <w:szCs w:val="30"/>
          <w:lang w:val="en-US" w:eastAsia="zh-CN"/>
        </w:rPr>
        <w:t>2</w:t>
      </w:r>
      <w:r>
        <w:rPr>
          <w:rFonts w:ascii="Times New Roman" w:hAnsi="宋体" w:eastAsia="宋体" w:cs="Times New Roman"/>
          <w:b/>
          <w:bCs/>
          <w:color w:val="auto"/>
          <w:kern w:val="0"/>
          <w:sz w:val="30"/>
          <w:szCs w:val="30"/>
        </w:rPr>
        <w:t>年硕博连读、申请审核制博士生</w:t>
      </w:r>
      <w:r>
        <w:rPr>
          <w:rFonts w:hint="eastAsia" w:ascii="Times New Roman" w:hAnsi="宋体" w:eastAsia="宋体" w:cs="Times New Roman"/>
          <w:b/>
          <w:bCs/>
          <w:color w:val="auto"/>
          <w:kern w:val="0"/>
          <w:sz w:val="30"/>
          <w:szCs w:val="30"/>
          <w:lang w:eastAsia="zh-CN"/>
        </w:rPr>
        <w:t>选拔考核</w:t>
      </w:r>
      <w:r>
        <w:rPr>
          <w:rFonts w:ascii="Times New Roman" w:hAnsi="宋体" w:eastAsia="宋体" w:cs="Times New Roman"/>
          <w:b/>
          <w:bCs/>
          <w:color w:val="auto"/>
          <w:kern w:val="0"/>
          <w:sz w:val="30"/>
          <w:szCs w:val="30"/>
        </w:rPr>
        <w:t>办法</w:t>
      </w:r>
    </w:p>
    <w:p>
      <w:pPr>
        <w:snapToGrid w:val="0"/>
        <w:spacing w:line="360" w:lineRule="auto"/>
        <w:ind w:firstLine="472" w:firstLineChars="225"/>
        <w:rPr>
          <w:rFonts w:ascii="Times New Roman" w:hAnsi="Times New Roman" w:eastAsia="宋体" w:cs="Times New Roman"/>
          <w:color w:val="auto"/>
          <w:szCs w:val="21"/>
        </w:rPr>
      </w:pPr>
      <w:r>
        <w:rPr>
          <w:rFonts w:ascii="Times New Roman" w:hAnsi="宋体" w:eastAsia="宋体" w:cs="Times New Roman"/>
          <w:color w:val="auto"/>
          <w:szCs w:val="21"/>
        </w:rPr>
        <w:t>为了进一步深化博士研究生招生制度改革，改善博士研究生生源结构，提高生源质量，根据安徽大学研究生院《</w:t>
      </w:r>
      <w:r>
        <w:rPr>
          <w:rFonts w:ascii="Times New Roman" w:hAnsi="Times New Roman" w:eastAsia="宋体" w:cs="Times New Roman"/>
          <w:color w:val="auto"/>
          <w:szCs w:val="21"/>
        </w:rPr>
        <w:t>20</w:t>
      </w:r>
      <w:r>
        <w:rPr>
          <w:rFonts w:hint="eastAsia" w:ascii="Times New Roman" w:hAnsi="Times New Roman" w:eastAsia="宋体" w:cs="Times New Roman"/>
          <w:color w:val="auto"/>
          <w:szCs w:val="21"/>
        </w:rPr>
        <w:t>2</w:t>
      </w:r>
      <w:r>
        <w:rPr>
          <w:rFonts w:hint="eastAsia" w:ascii="Times New Roman" w:hAnsi="Times New Roman" w:eastAsia="宋体" w:cs="Times New Roman"/>
          <w:color w:val="auto"/>
          <w:szCs w:val="21"/>
          <w:lang w:val="en-US" w:eastAsia="zh-CN"/>
        </w:rPr>
        <w:t>2</w:t>
      </w:r>
      <w:r>
        <w:rPr>
          <w:rFonts w:ascii="Times New Roman" w:hAnsi="宋体" w:eastAsia="宋体" w:cs="Times New Roman"/>
          <w:color w:val="auto"/>
          <w:szCs w:val="21"/>
        </w:rPr>
        <w:t>年硕博连读与申请审核制博士研究生选拔工作实施办法》，结合学院实际，制定本办法。</w:t>
      </w:r>
    </w:p>
    <w:p>
      <w:pPr>
        <w:tabs>
          <w:tab w:val="left" w:pos="960"/>
        </w:tabs>
        <w:snapToGrid w:val="0"/>
        <w:spacing w:beforeLines="50" w:line="360" w:lineRule="auto"/>
        <w:ind w:firstLine="422" w:firstLineChars="200"/>
        <w:rPr>
          <w:rFonts w:ascii="Times New Roman" w:hAnsi="Times New Roman" w:eastAsia="宋体" w:cs="Times New Roman"/>
          <w:color w:val="auto"/>
          <w:szCs w:val="21"/>
        </w:rPr>
      </w:pPr>
      <w:r>
        <w:rPr>
          <w:rFonts w:ascii="Times New Roman" w:hAnsi="宋体" w:eastAsia="宋体" w:cs="Times New Roman"/>
          <w:b/>
          <w:color w:val="auto"/>
          <w:szCs w:val="21"/>
        </w:rPr>
        <w:t>第一条</w:t>
      </w:r>
      <w:r>
        <w:rPr>
          <w:rFonts w:hint="eastAsia" w:ascii="Times New Roman" w:hAnsi="宋体" w:eastAsia="宋体" w:cs="Times New Roman"/>
          <w:b/>
          <w:color w:val="auto"/>
          <w:szCs w:val="21"/>
        </w:rPr>
        <w:t xml:space="preserve">  </w:t>
      </w:r>
      <w:r>
        <w:rPr>
          <w:rFonts w:ascii="Times New Roman" w:hAnsi="宋体" w:eastAsia="宋体" w:cs="Times New Roman"/>
          <w:b/>
          <w:color w:val="auto"/>
          <w:szCs w:val="21"/>
        </w:rPr>
        <w:t>选拔对象</w:t>
      </w:r>
    </w:p>
    <w:p>
      <w:pPr>
        <w:snapToGrid w:val="0"/>
        <w:spacing w:line="360" w:lineRule="auto"/>
        <w:ind w:firstLine="472" w:firstLineChars="225"/>
        <w:rPr>
          <w:rFonts w:ascii="Times New Roman" w:hAnsi="宋体" w:eastAsia="宋体" w:cs="Times New Roman"/>
          <w:color w:val="auto"/>
          <w:szCs w:val="21"/>
        </w:rPr>
      </w:pPr>
      <w:r>
        <w:rPr>
          <w:rFonts w:hint="eastAsia" w:ascii="Times New Roman" w:hAnsi="宋体" w:eastAsia="宋体" w:cs="Times New Roman"/>
          <w:color w:val="auto"/>
          <w:szCs w:val="21"/>
        </w:rPr>
        <w:t>1.</w:t>
      </w:r>
      <w:r>
        <w:rPr>
          <w:rFonts w:ascii="Times New Roman" w:hAnsi="宋体" w:eastAsia="宋体" w:cs="Times New Roman"/>
          <w:color w:val="auto"/>
          <w:szCs w:val="21"/>
        </w:rPr>
        <w:t>硕博连读博士生的申请人</w:t>
      </w:r>
      <w:r>
        <w:rPr>
          <w:rFonts w:hint="eastAsia" w:ascii="Times New Roman" w:hAnsi="宋体" w:eastAsia="宋体" w:cs="Times New Roman"/>
          <w:color w:val="auto"/>
          <w:szCs w:val="21"/>
        </w:rPr>
        <w:t>为我校</w:t>
      </w:r>
      <w:r>
        <w:rPr>
          <w:rFonts w:hint="default" w:ascii="Times New Roman" w:hAnsi="宋体" w:eastAsia="宋体" w:cs="Times New Roman"/>
          <w:color w:val="auto"/>
          <w:szCs w:val="21"/>
        </w:rPr>
        <w:t>20</w:t>
      </w:r>
      <w:r>
        <w:rPr>
          <w:rFonts w:hint="eastAsia" w:ascii="Times New Roman" w:hAnsi="宋体" w:eastAsia="宋体" w:cs="Times New Roman"/>
          <w:color w:val="auto"/>
          <w:szCs w:val="21"/>
          <w:lang w:val="en-US" w:eastAsia="zh-CN"/>
        </w:rPr>
        <w:t>20</w:t>
      </w:r>
      <w:r>
        <w:rPr>
          <w:rFonts w:hint="default" w:ascii="Times New Roman" w:hAnsi="宋体" w:eastAsia="宋体" w:cs="Times New Roman"/>
          <w:color w:val="auto"/>
          <w:szCs w:val="21"/>
        </w:rPr>
        <w:t>级在读全日制硕士研究生或应届硕士毕业生，</w:t>
      </w:r>
      <w:r>
        <w:rPr>
          <w:rFonts w:hint="eastAsia" w:ascii="Times New Roman" w:hAnsi="宋体" w:eastAsia="宋体" w:cs="Times New Roman"/>
          <w:color w:val="auto"/>
          <w:szCs w:val="21"/>
        </w:rPr>
        <w:t>且第一学历须为全日制本科毕业并获得学士学位</w:t>
      </w:r>
      <w:r>
        <w:rPr>
          <w:rFonts w:hint="eastAsia" w:ascii="Times New Roman" w:hAnsi="宋体" w:eastAsia="宋体" w:cs="Times New Roman"/>
          <w:color w:val="auto"/>
          <w:szCs w:val="21"/>
          <w:lang w:eastAsia="zh-CN"/>
        </w:rPr>
        <w:t>。注意：</w:t>
      </w:r>
      <w:r>
        <w:rPr>
          <w:rFonts w:hint="eastAsia" w:ascii="Times New Roman" w:hAnsi="宋体" w:eastAsia="宋体" w:cs="Times New Roman"/>
          <w:color w:val="auto"/>
          <w:szCs w:val="21"/>
          <w:lang w:val="en-US" w:eastAsia="zh-CN"/>
        </w:rPr>
        <w:t>申请硕博连读的我校应届硕士毕业生，</w:t>
      </w:r>
      <w:r>
        <w:rPr>
          <w:rFonts w:hint="eastAsia" w:ascii="Times New Roman" w:hAnsi="宋体" w:eastAsia="宋体" w:cs="Times New Roman"/>
          <w:color w:val="auto"/>
          <w:szCs w:val="21"/>
        </w:rPr>
        <w:t>不做硕士学位论文，不授予硕士学位</w:t>
      </w:r>
      <w:bookmarkStart w:id="0" w:name="_GoBack"/>
      <w:bookmarkEnd w:id="0"/>
      <w:r>
        <w:rPr>
          <w:rFonts w:ascii="Times New Roman" w:hAnsi="宋体" w:eastAsia="宋体" w:cs="Times New Roman"/>
          <w:color w:val="auto"/>
          <w:szCs w:val="21"/>
        </w:rPr>
        <w:t>。</w:t>
      </w:r>
    </w:p>
    <w:p>
      <w:pPr>
        <w:snapToGrid w:val="0"/>
        <w:spacing w:line="360" w:lineRule="auto"/>
        <w:ind w:firstLine="472" w:firstLineChars="225"/>
        <w:rPr>
          <w:rFonts w:ascii="Times New Roman" w:hAnsi="宋体" w:eastAsia="宋体" w:cs="Times New Roman"/>
          <w:color w:val="auto"/>
          <w:szCs w:val="21"/>
        </w:rPr>
      </w:pPr>
      <w:r>
        <w:rPr>
          <w:rFonts w:hint="eastAsia" w:ascii="Times New Roman" w:hAnsi="宋体" w:eastAsia="宋体" w:cs="Times New Roman"/>
          <w:color w:val="auto"/>
          <w:szCs w:val="21"/>
        </w:rPr>
        <w:t>2.申请审核制博士生申请人</w:t>
      </w:r>
      <w:r>
        <w:rPr>
          <w:rFonts w:hint="eastAsia" w:ascii="Times New Roman" w:hAnsi="宋体" w:eastAsia="宋体" w:cs="Times New Roman"/>
          <w:color w:val="auto"/>
          <w:szCs w:val="21"/>
          <w:lang w:eastAsia="zh-CN"/>
        </w:rPr>
        <w:t>为</w:t>
      </w:r>
      <w:r>
        <w:rPr>
          <w:rFonts w:hint="eastAsia" w:ascii="Times New Roman" w:hAnsi="宋体" w:eastAsia="宋体" w:cs="Times New Roman"/>
          <w:color w:val="auto"/>
          <w:szCs w:val="21"/>
        </w:rPr>
        <w:t>硕士研究生毕业或已获硕士学位的人员</w:t>
      </w:r>
      <w:r>
        <w:rPr>
          <w:rFonts w:hint="default" w:ascii="Times New Roman" w:hAnsi="宋体" w:eastAsia="宋体" w:cs="Times New Roman"/>
          <w:color w:val="auto"/>
          <w:szCs w:val="21"/>
        </w:rPr>
        <w:t>或应届硕士毕业生（最迟须在入学前毕业或取得硕士学位）</w:t>
      </w:r>
      <w:r>
        <w:rPr>
          <w:rFonts w:ascii="Times New Roman" w:hAnsi="宋体" w:eastAsia="宋体" w:cs="Times New Roman"/>
          <w:color w:val="auto"/>
          <w:szCs w:val="21"/>
        </w:rPr>
        <w:t>。</w:t>
      </w:r>
    </w:p>
    <w:p>
      <w:pPr>
        <w:snapToGrid w:val="0"/>
        <w:spacing w:line="360" w:lineRule="auto"/>
        <w:ind w:firstLine="472" w:firstLineChars="225"/>
        <w:rPr>
          <w:rFonts w:ascii="Times New Roman" w:hAnsi="Times New Roman" w:eastAsia="宋体" w:cs="Times New Roman"/>
          <w:color w:val="auto"/>
          <w:szCs w:val="21"/>
        </w:rPr>
      </w:pPr>
      <w:r>
        <w:rPr>
          <w:rFonts w:hint="eastAsia" w:ascii="Times New Roman" w:hAnsi="宋体" w:eastAsia="宋体" w:cs="Times New Roman"/>
          <w:color w:val="auto"/>
          <w:szCs w:val="21"/>
        </w:rPr>
        <w:t>3.</w:t>
      </w:r>
      <w:r>
        <w:rPr>
          <w:rFonts w:ascii="Times New Roman" w:hAnsi="宋体" w:eastAsia="宋体" w:cs="Times New Roman"/>
          <w:color w:val="auto"/>
          <w:szCs w:val="21"/>
        </w:rPr>
        <w:t>申请人硕士期间所学专业方向与所要申请的博士专业方向相同或相近，属于同一个一级学科优先。</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4.</w:t>
      </w:r>
      <w:r>
        <w:rPr>
          <w:rFonts w:ascii="Times New Roman" w:hAnsi="宋体" w:eastAsia="宋体" w:cs="Times New Roman"/>
          <w:color w:val="auto"/>
          <w:szCs w:val="21"/>
        </w:rPr>
        <w:t>20</w:t>
      </w:r>
      <w:r>
        <w:rPr>
          <w:rFonts w:hint="eastAsia" w:ascii="Times New Roman" w:hAnsi="宋体" w:eastAsia="宋体" w:cs="Times New Roman"/>
          <w:color w:val="auto"/>
          <w:szCs w:val="21"/>
        </w:rPr>
        <w:t>2</w:t>
      </w:r>
      <w:r>
        <w:rPr>
          <w:rFonts w:hint="eastAsia" w:ascii="Times New Roman" w:hAnsi="宋体" w:eastAsia="宋体" w:cs="Times New Roman"/>
          <w:color w:val="auto"/>
          <w:szCs w:val="21"/>
          <w:lang w:val="en-US" w:eastAsia="zh-CN"/>
        </w:rPr>
        <w:t>2</w:t>
      </w:r>
      <w:r>
        <w:rPr>
          <w:rFonts w:ascii="Times New Roman" w:hAnsi="宋体" w:eastAsia="宋体" w:cs="Times New Roman"/>
          <w:color w:val="auto"/>
          <w:szCs w:val="21"/>
        </w:rPr>
        <w:t>年度硕博连读、申请审核制博士生按社会学一级学科招生，本着有利于学科发展与学位点</w:t>
      </w:r>
      <w:r>
        <w:rPr>
          <w:rFonts w:hint="eastAsia" w:ascii="Times New Roman" w:hAnsi="宋体" w:eastAsia="宋体" w:cs="Times New Roman"/>
          <w:color w:val="auto"/>
          <w:szCs w:val="21"/>
        </w:rPr>
        <w:t>建设</w:t>
      </w:r>
      <w:r>
        <w:rPr>
          <w:rFonts w:ascii="Times New Roman" w:hAnsi="宋体" w:eastAsia="宋体" w:cs="Times New Roman"/>
          <w:color w:val="auto"/>
          <w:szCs w:val="21"/>
        </w:rPr>
        <w:t>的原则，充分考虑到学院拟招生导师的研究特长，限于在理论社会学、</w:t>
      </w:r>
      <w:r>
        <w:rPr>
          <w:rFonts w:hint="eastAsia" w:ascii="Times New Roman" w:hAnsi="宋体" w:eastAsia="宋体" w:cs="Times New Roman"/>
          <w:color w:val="auto"/>
          <w:szCs w:val="21"/>
          <w:lang w:val="en-US" w:eastAsia="zh-CN"/>
        </w:rPr>
        <w:t>人口学、</w:t>
      </w:r>
      <w:r>
        <w:rPr>
          <w:rFonts w:ascii="Times New Roman" w:hAnsi="宋体" w:eastAsia="宋体" w:cs="Times New Roman"/>
          <w:color w:val="auto"/>
          <w:szCs w:val="21"/>
        </w:rPr>
        <w:t>社会管理与社会政策、政治社会学</w:t>
      </w:r>
      <w:r>
        <w:rPr>
          <w:rFonts w:hint="eastAsia" w:ascii="Times New Roman" w:hAnsi="宋体" w:eastAsia="宋体" w:cs="Times New Roman"/>
          <w:color w:val="auto"/>
          <w:szCs w:val="21"/>
          <w:lang w:eastAsia="zh-CN"/>
        </w:rPr>
        <w:t>、</w:t>
      </w:r>
      <w:r>
        <w:rPr>
          <w:rFonts w:hint="eastAsia" w:ascii="Times New Roman" w:hAnsi="宋体" w:eastAsia="宋体" w:cs="Times New Roman"/>
          <w:color w:val="auto"/>
          <w:szCs w:val="21"/>
          <w:lang w:val="en-US" w:eastAsia="zh-CN"/>
        </w:rPr>
        <w:t>人类</w:t>
      </w:r>
      <w:r>
        <w:rPr>
          <w:rFonts w:ascii="Times New Roman" w:hAnsi="宋体" w:eastAsia="宋体" w:cs="Times New Roman"/>
          <w:color w:val="auto"/>
          <w:szCs w:val="21"/>
        </w:rPr>
        <w:t>学、</w:t>
      </w:r>
      <w:r>
        <w:rPr>
          <w:rFonts w:hint="eastAsia" w:ascii="Times New Roman" w:hAnsi="宋体" w:eastAsia="宋体" w:cs="Times New Roman"/>
          <w:color w:val="auto"/>
          <w:szCs w:val="21"/>
          <w:lang w:val="en-US" w:eastAsia="zh-CN"/>
        </w:rPr>
        <w:t>社会工作</w:t>
      </w:r>
      <w:r>
        <w:rPr>
          <w:rFonts w:ascii="Times New Roman" w:hAnsi="宋体" w:eastAsia="宋体" w:cs="Times New Roman"/>
          <w:color w:val="auto"/>
          <w:szCs w:val="21"/>
        </w:rPr>
        <w:t>等学科方向申请。</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5.</w:t>
      </w:r>
      <w:r>
        <w:rPr>
          <w:rFonts w:ascii="Times New Roman" w:hAnsi="宋体" w:eastAsia="宋体" w:cs="Times New Roman"/>
          <w:color w:val="auto"/>
          <w:szCs w:val="21"/>
        </w:rPr>
        <w:t>硕博连读及申请审核制博士生</w:t>
      </w:r>
      <w:r>
        <w:rPr>
          <w:rFonts w:hint="eastAsia" w:ascii="Times New Roman" w:hAnsi="宋体" w:eastAsia="宋体" w:cs="Times New Roman"/>
          <w:color w:val="auto"/>
          <w:szCs w:val="21"/>
        </w:rPr>
        <w:t>必须</w:t>
      </w:r>
      <w:r>
        <w:rPr>
          <w:rFonts w:ascii="Times New Roman" w:hAnsi="宋体" w:eastAsia="宋体" w:cs="Times New Roman"/>
          <w:color w:val="auto"/>
          <w:szCs w:val="21"/>
        </w:rPr>
        <w:t>全脱产学习</w:t>
      </w:r>
      <w:r>
        <w:rPr>
          <w:rFonts w:hint="eastAsia" w:ascii="Times New Roman" w:hAnsi="宋体" w:eastAsia="宋体" w:cs="Times New Roman"/>
          <w:color w:val="auto"/>
          <w:szCs w:val="21"/>
        </w:rPr>
        <w:t>(必须在入学前将档案及工资关系转入我校研究生院)</w:t>
      </w:r>
      <w:r>
        <w:rPr>
          <w:rFonts w:ascii="Times New Roman" w:hAnsi="宋体" w:eastAsia="宋体" w:cs="Times New Roman"/>
          <w:color w:val="auto"/>
          <w:szCs w:val="21"/>
        </w:rPr>
        <w:t>。</w:t>
      </w:r>
    </w:p>
    <w:p>
      <w:pPr>
        <w:snapToGrid w:val="0"/>
        <w:spacing w:beforeLines="50" w:line="360" w:lineRule="auto"/>
        <w:ind w:firstLine="422" w:firstLineChars="200"/>
        <w:jc w:val="left"/>
        <w:rPr>
          <w:rFonts w:ascii="Times New Roman" w:hAnsi="Times New Roman" w:eastAsia="宋体" w:cs="Times New Roman"/>
          <w:b/>
          <w:color w:val="auto"/>
          <w:szCs w:val="21"/>
        </w:rPr>
      </w:pPr>
      <w:r>
        <w:rPr>
          <w:rFonts w:hint="eastAsia" w:ascii="Times New Roman" w:hAnsi="宋体" w:eastAsia="宋体" w:cs="Times New Roman"/>
          <w:b/>
          <w:color w:val="auto"/>
          <w:szCs w:val="21"/>
        </w:rPr>
        <w:t>第二条  基本</w:t>
      </w:r>
      <w:r>
        <w:rPr>
          <w:rFonts w:ascii="Times New Roman" w:hAnsi="宋体" w:eastAsia="宋体" w:cs="Times New Roman"/>
          <w:b/>
          <w:color w:val="auto"/>
          <w:szCs w:val="21"/>
        </w:rPr>
        <w:t>条件</w:t>
      </w:r>
    </w:p>
    <w:p>
      <w:pPr>
        <w:tabs>
          <w:tab w:val="left" w:pos="780"/>
          <w:tab w:val="left" w:pos="900"/>
          <w:tab w:val="left" w:pos="1426"/>
        </w:tabs>
        <w:snapToGrid w:val="0"/>
        <w:spacing w:line="360" w:lineRule="auto"/>
        <w:ind w:firstLine="420" w:firstLineChars="200"/>
        <w:rPr>
          <w:rFonts w:ascii="Times New Roman" w:hAnsi="Times New Roman" w:eastAsia="宋体" w:cs="Times New Roman"/>
          <w:color w:val="auto"/>
          <w:szCs w:val="21"/>
        </w:rPr>
      </w:pPr>
      <w:r>
        <w:rPr>
          <w:rFonts w:hint="eastAsia" w:ascii="Times New Roman" w:hAnsi="宋体" w:eastAsia="宋体" w:cs="Times New Roman"/>
          <w:color w:val="auto"/>
          <w:szCs w:val="21"/>
        </w:rPr>
        <w:t>1.</w:t>
      </w:r>
      <w:r>
        <w:rPr>
          <w:rFonts w:ascii="Times New Roman" w:hAnsi="宋体" w:eastAsia="宋体" w:cs="Times New Roman"/>
          <w:color w:val="auto"/>
          <w:szCs w:val="21"/>
        </w:rPr>
        <w:t>政治表现和思想品德优良，学风严谨，遵守学术道德规范。硕士在读期间没有受到任何处分</w:t>
      </w:r>
      <w:r>
        <w:rPr>
          <w:rFonts w:hint="eastAsia" w:ascii="Times New Roman" w:hAnsi="宋体" w:eastAsia="宋体" w:cs="Times New Roman"/>
          <w:color w:val="auto"/>
          <w:szCs w:val="21"/>
        </w:rPr>
        <w:t>，</w:t>
      </w:r>
      <w:r>
        <w:rPr>
          <w:rFonts w:ascii="Times New Roman" w:hAnsi="宋体" w:eastAsia="宋体" w:cs="Times New Roman"/>
          <w:color w:val="auto"/>
          <w:szCs w:val="21"/>
        </w:rPr>
        <w:t>已获硕士学位者没有受到过任何刑事和行政处分。</w:t>
      </w:r>
    </w:p>
    <w:p>
      <w:pPr>
        <w:tabs>
          <w:tab w:val="left" w:pos="780"/>
          <w:tab w:val="left" w:pos="900"/>
          <w:tab w:val="left" w:pos="1426"/>
        </w:tabs>
        <w:snapToGrid w:val="0"/>
        <w:spacing w:line="360" w:lineRule="auto"/>
        <w:ind w:firstLine="420" w:firstLineChars="200"/>
        <w:rPr>
          <w:rFonts w:ascii="Times New Roman" w:hAnsi="Times New Roman" w:eastAsia="宋体" w:cs="Times New Roman"/>
          <w:color w:val="auto"/>
          <w:szCs w:val="21"/>
        </w:rPr>
      </w:pPr>
      <w:r>
        <w:rPr>
          <w:rFonts w:hint="eastAsia" w:ascii="Times New Roman" w:hAnsi="宋体" w:eastAsia="宋体" w:cs="Times New Roman"/>
          <w:color w:val="auto"/>
          <w:szCs w:val="21"/>
        </w:rPr>
        <w:t>2.</w:t>
      </w:r>
      <w:r>
        <w:rPr>
          <w:rFonts w:ascii="Times New Roman" w:hAnsi="宋体" w:eastAsia="宋体" w:cs="Times New Roman"/>
          <w:color w:val="auto"/>
          <w:szCs w:val="21"/>
        </w:rPr>
        <w:t>身心健康，具有良好的综合素质，具有较强的科研能力和培养潜质</w:t>
      </w:r>
      <w:r>
        <w:rPr>
          <w:rFonts w:hint="eastAsia" w:ascii="Times New Roman" w:hAnsi="宋体" w:eastAsia="宋体" w:cs="Times New Roman"/>
          <w:color w:val="auto"/>
          <w:szCs w:val="21"/>
        </w:rPr>
        <w:t>，</w:t>
      </w:r>
      <w:r>
        <w:rPr>
          <w:rFonts w:ascii="Times New Roman" w:hAnsi="宋体" w:eastAsia="宋体" w:cs="Times New Roman"/>
          <w:color w:val="auto"/>
          <w:szCs w:val="21"/>
        </w:rPr>
        <w:t>能够正常地参</w:t>
      </w:r>
      <w:r>
        <w:rPr>
          <w:rFonts w:hint="eastAsia" w:ascii="Times New Roman" w:hAnsi="宋体" w:eastAsia="宋体" w:cs="Times New Roman"/>
          <w:color w:val="auto"/>
          <w:szCs w:val="21"/>
        </w:rPr>
        <w:t>加</w:t>
      </w:r>
      <w:r>
        <w:rPr>
          <w:rFonts w:ascii="Times New Roman" w:hAnsi="宋体" w:eastAsia="宋体" w:cs="Times New Roman"/>
          <w:color w:val="auto"/>
          <w:szCs w:val="21"/>
        </w:rPr>
        <w:t>学习与科研活动。</w:t>
      </w:r>
    </w:p>
    <w:p>
      <w:pPr>
        <w:tabs>
          <w:tab w:val="left" w:pos="780"/>
          <w:tab w:val="left" w:pos="900"/>
          <w:tab w:val="left" w:pos="1426"/>
        </w:tabs>
        <w:snapToGrid w:val="0"/>
        <w:spacing w:line="300" w:lineRule="auto"/>
        <w:ind w:firstLine="420" w:firstLineChars="200"/>
        <w:rPr>
          <w:rFonts w:hint="eastAsia" w:ascii="Times New Roman" w:hAnsi="宋体" w:eastAsia="宋体" w:cs="Times New Roman"/>
          <w:color w:val="auto"/>
          <w:szCs w:val="21"/>
        </w:rPr>
      </w:pPr>
      <w:r>
        <w:rPr>
          <w:rFonts w:hint="eastAsia" w:ascii="Times New Roman" w:hAnsi="宋体" w:eastAsia="宋体" w:cs="Times New Roman"/>
          <w:color w:val="auto"/>
          <w:szCs w:val="21"/>
        </w:rPr>
        <w:t>3.</w:t>
      </w:r>
      <w:r>
        <w:rPr>
          <w:rFonts w:ascii="Times New Roman" w:hAnsi="宋体" w:eastAsia="宋体" w:cs="Times New Roman"/>
          <w:color w:val="auto"/>
          <w:szCs w:val="21"/>
        </w:rPr>
        <w:t>硕博连读及申请审核制博士生申请人的第一学历须为全日制本科毕业，且获得学士学位</w:t>
      </w:r>
      <w:r>
        <w:rPr>
          <w:rFonts w:hint="eastAsia" w:ascii="Times New Roman" w:hAnsi="宋体" w:eastAsia="宋体" w:cs="Times New Roman"/>
          <w:color w:val="auto"/>
          <w:szCs w:val="21"/>
        </w:rPr>
        <w:t>。</w:t>
      </w:r>
    </w:p>
    <w:p>
      <w:pPr>
        <w:tabs>
          <w:tab w:val="left" w:pos="780"/>
          <w:tab w:val="left" w:pos="900"/>
          <w:tab w:val="left" w:pos="1426"/>
        </w:tabs>
        <w:snapToGrid w:val="0"/>
        <w:spacing w:line="360" w:lineRule="auto"/>
        <w:ind w:firstLine="420" w:firstLineChars="200"/>
        <w:rPr>
          <w:rFonts w:ascii="Times New Roman" w:hAnsi="Times New Roman" w:eastAsia="宋体" w:cs="Times New Roman"/>
          <w:color w:val="auto"/>
          <w:szCs w:val="21"/>
        </w:rPr>
      </w:pPr>
      <w:r>
        <w:rPr>
          <w:rFonts w:hint="eastAsia" w:ascii="Times New Roman" w:hAnsi="宋体" w:eastAsia="宋体" w:cs="Times New Roman"/>
          <w:color w:val="auto"/>
          <w:szCs w:val="21"/>
        </w:rPr>
        <w:t>4.</w:t>
      </w:r>
      <w:r>
        <w:rPr>
          <w:rFonts w:ascii="Times New Roman" w:hAnsi="宋体" w:eastAsia="宋体" w:cs="Times New Roman"/>
          <w:color w:val="auto"/>
          <w:szCs w:val="21"/>
        </w:rPr>
        <w:t>硕博连读博士生的申请人（即本校20</w:t>
      </w:r>
      <w:r>
        <w:rPr>
          <w:rFonts w:hint="eastAsia" w:ascii="Times New Roman" w:hAnsi="宋体" w:eastAsia="宋体" w:cs="Times New Roman"/>
          <w:color w:val="auto"/>
          <w:szCs w:val="21"/>
          <w:lang w:val="en-US" w:eastAsia="zh-CN"/>
        </w:rPr>
        <w:t>20</w:t>
      </w:r>
      <w:r>
        <w:rPr>
          <w:rFonts w:ascii="Times New Roman" w:hAnsi="宋体" w:eastAsia="宋体" w:cs="Times New Roman"/>
          <w:color w:val="auto"/>
          <w:szCs w:val="21"/>
        </w:rPr>
        <w:t>级硕士研究生），应提交不少于2篇发表</w:t>
      </w:r>
      <w:r>
        <w:rPr>
          <w:rFonts w:hint="eastAsia" w:ascii="Times New Roman" w:hAnsi="宋体" w:eastAsia="宋体" w:cs="Times New Roman"/>
          <w:color w:val="auto"/>
          <w:szCs w:val="21"/>
        </w:rPr>
        <w:t>在</w:t>
      </w:r>
      <w:r>
        <w:rPr>
          <w:rFonts w:ascii="Times New Roman" w:hAnsi="宋体" w:eastAsia="宋体" w:cs="Times New Roman"/>
          <w:color w:val="auto"/>
          <w:szCs w:val="21"/>
        </w:rPr>
        <w:t>有公开刊号的大学学报、CSSCI扩展库及以上期刊的社会学相关学术论文</w:t>
      </w:r>
      <w:r>
        <w:rPr>
          <w:rFonts w:hint="eastAsia" w:ascii="Times New Roman" w:hAnsi="宋体" w:eastAsia="宋体" w:cs="Times New Roman"/>
          <w:color w:val="auto"/>
          <w:szCs w:val="21"/>
        </w:rPr>
        <w:t>；</w:t>
      </w:r>
      <w:r>
        <w:rPr>
          <w:rFonts w:hint="eastAsia" w:ascii="Times New Roman" w:hAnsi="宋体" w:eastAsia="宋体" w:cs="Times New Roman"/>
          <w:bCs/>
          <w:color w:val="auto"/>
          <w:szCs w:val="21"/>
        </w:rPr>
        <w:t>或不少于1篇</w:t>
      </w:r>
      <w:r>
        <w:rPr>
          <w:rFonts w:ascii="Times New Roman" w:hAnsi="宋体" w:eastAsia="宋体" w:cs="Times New Roman"/>
          <w:bCs/>
          <w:color w:val="auto"/>
          <w:szCs w:val="21"/>
        </w:rPr>
        <w:t>以第一作者</w:t>
      </w:r>
      <w:r>
        <w:rPr>
          <w:rFonts w:hint="eastAsia" w:ascii="Times New Roman" w:hAnsi="宋体" w:eastAsia="宋体" w:cs="Times New Roman"/>
          <w:bCs/>
          <w:color w:val="auto"/>
          <w:szCs w:val="21"/>
        </w:rPr>
        <w:t>（除导师外）在CSSCI及以上期刊发表的社会学相关学术论文。</w:t>
      </w:r>
    </w:p>
    <w:p>
      <w:pPr>
        <w:tabs>
          <w:tab w:val="left" w:pos="780"/>
          <w:tab w:val="left" w:pos="900"/>
          <w:tab w:val="left" w:pos="1426"/>
        </w:tabs>
        <w:snapToGrid w:val="0"/>
        <w:spacing w:line="360" w:lineRule="auto"/>
        <w:ind w:firstLine="420" w:firstLineChars="200"/>
        <w:rPr>
          <w:rFonts w:ascii="Times New Roman" w:hAnsi="宋体" w:eastAsia="宋体" w:cs="Times New Roman"/>
          <w:b w:val="0"/>
          <w:bCs w:val="0"/>
          <w:color w:val="auto"/>
          <w:szCs w:val="21"/>
        </w:rPr>
      </w:pPr>
      <w:r>
        <w:rPr>
          <w:rFonts w:hint="eastAsia" w:ascii="Times New Roman" w:hAnsi="宋体" w:eastAsia="宋体" w:cs="Times New Roman"/>
          <w:color w:val="auto"/>
          <w:szCs w:val="21"/>
        </w:rPr>
        <w:t>5.</w:t>
      </w:r>
      <w:r>
        <w:rPr>
          <w:rFonts w:ascii="Times New Roman" w:hAnsi="宋体" w:eastAsia="宋体" w:cs="Times New Roman"/>
          <w:color w:val="auto"/>
          <w:szCs w:val="21"/>
        </w:rPr>
        <w:t>申请审核制博士生的申请人为应届毕业硕士研究生者，应提交不少于</w:t>
      </w:r>
      <w:r>
        <w:rPr>
          <w:rFonts w:ascii="Times New Roman" w:hAnsi="Times New Roman" w:eastAsia="宋体" w:cs="Times New Roman"/>
          <w:color w:val="auto"/>
          <w:szCs w:val="21"/>
        </w:rPr>
        <w:t>1</w:t>
      </w:r>
      <w:r>
        <w:rPr>
          <w:rFonts w:ascii="Times New Roman" w:hAnsi="宋体" w:eastAsia="宋体" w:cs="Times New Roman"/>
          <w:color w:val="auto"/>
          <w:szCs w:val="21"/>
        </w:rPr>
        <w:t>篇以第一作者（除导师外）发表在</w:t>
      </w:r>
      <w:r>
        <w:rPr>
          <w:rFonts w:ascii="Times New Roman" w:hAnsi="Times New Roman" w:eastAsia="宋体" w:cs="Times New Roman"/>
          <w:color w:val="auto"/>
          <w:szCs w:val="21"/>
        </w:rPr>
        <w:t>CSSCI</w:t>
      </w:r>
      <w:r>
        <w:rPr>
          <w:rFonts w:ascii="Times New Roman" w:hAnsi="宋体" w:eastAsia="宋体" w:cs="Times New Roman"/>
          <w:color w:val="auto"/>
          <w:szCs w:val="21"/>
        </w:rPr>
        <w:t>扩展库及以上期刊的社会学相关学术论文；或不少于</w:t>
      </w:r>
      <w:r>
        <w:rPr>
          <w:rFonts w:ascii="Times New Roman" w:hAnsi="Times New Roman" w:eastAsia="宋体" w:cs="Times New Roman"/>
          <w:color w:val="auto"/>
          <w:szCs w:val="21"/>
        </w:rPr>
        <w:t>2</w:t>
      </w:r>
      <w:r>
        <w:rPr>
          <w:rFonts w:ascii="Times New Roman" w:hAnsi="宋体" w:eastAsia="宋体" w:cs="Times New Roman"/>
          <w:color w:val="auto"/>
          <w:szCs w:val="21"/>
        </w:rPr>
        <w:t>篇以第</w:t>
      </w:r>
      <w:r>
        <w:rPr>
          <w:rFonts w:ascii="Times New Roman" w:hAnsi="宋体" w:eastAsia="宋体" w:cs="Times New Roman"/>
          <w:b w:val="0"/>
          <w:bCs w:val="0"/>
          <w:color w:val="auto"/>
          <w:szCs w:val="21"/>
        </w:rPr>
        <w:t>一作者</w:t>
      </w:r>
      <w:r>
        <w:rPr>
          <w:rFonts w:ascii="Times New Roman" w:hAnsi="宋体" w:eastAsia="宋体" w:cs="Times New Roman"/>
          <w:b w:val="0"/>
          <w:bCs w:val="0"/>
          <w:color w:val="auto"/>
          <w:szCs w:val="21"/>
          <w:u w:val="none"/>
        </w:rPr>
        <w:t>（除导师外）</w:t>
      </w:r>
      <w:r>
        <w:rPr>
          <w:rFonts w:ascii="Times New Roman" w:hAnsi="宋体" w:eastAsia="宋体" w:cs="Times New Roman"/>
          <w:b w:val="0"/>
          <w:bCs w:val="0"/>
          <w:color w:val="auto"/>
          <w:szCs w:val="21"/>
        </w:rPr>
        <w:t>发表在大学学报、CSSCI扩展库及以上期刊公开发表的社会学相关学术论文。</w:t>
      </w:r>
    </w:p>
    <w:p>
      <w:pPr>
        <w:tabs>
          <w:tab w:val="left" w:pos="780"/>
          <w:tab w:val="left" w:pos="900"/>
          <w:tab w:val="left" w:pos="1426"/>
        </w:tabs>
        <w:snapToGrid w:val="0"/>
        <w:spacing w:line="360" w:lineRule="auto"/>
        <w:ind w:firstLine="420" w:firstLineChars="200"/>
        <w:rPr>
          <w:rFonts w:hint="eastAsia" w:ascii="Times New Roman" w:hAnsi="宋体" w:eastAsia="宋体" w:cs="Times New Roman"/>
          <w:b w:val="0"/>
          <w:bCs w:val="0"/>
          <w:color w:val="auto"/>
          <w:szCs w:val="21"/>
          <w:lang w:val="en-US" w:eastAsia="zh-CN"/>
        </w:rPr>
      </w:pPr>
      <w:r>
        <w:rPr>
          <w:rFonts w:hint="eastAsia" w:ascii="Times New Roman" w:hAnsi="宋体" w:eastAsia="宋体" w:cs="Times New Roman"/>
          <w:b w:val="0"/>
          <w:bCs w:val="0"/>
          <w:color w:val="auto"/>
          <w:szCs w:val="21"/>
        </w:rPr>
        <w:t>6.</w:t>
      </w:r>
      <w:r>
        <w:rPr>
          <w:rFonts w:ascii="Times New Roman" w:hAnsi="宋体" w:eastAsia="宋体" w:cs="Times New Roman"/>
          <w:b w:val="0"/>
          <w:bCs w:val="0"/>
          <w:color w:val="auto"/>
          <w:szCs w:val="21"/>
        </w:rPr>
        <w:t>申请审核制博士生的申请人为已获硕士学位者，</w:t>
      </w:r>
      <w:r>
        <w:rPr>
          <w:rFonts w:hint="eastAsia" w:ascii="Times New Roman" w:hAnsi="宋体" w:eastAsia="宋体" w:cs="Times New Roman"/>
          <w:b w:val="0"/>
          <w:bCs w:val="0"/>
          <w:color w:val="auto"/>
          <w:szCs w:val="21"/>
          <w:lang w:val="en-US" w:eastAsia="zh-CN"/>
        </w:rPr>
        <w:t>应提交近五年来（2017年1月1日以来）不少于2篇以第一作者公开发表在</w:t>
      </w:r>
      <w:r>
        <w:rPr>
          <w:rFonts w:ascii="Times New Roman" w:hAnsi="宋体" w:eastAsia="宋体" w:cs="Times New Roman"/>
          <w:b w:val="0"/>
          <w:bCs w:val="0"/>
          <w:color w:val="auto"/>
          <w:szCs w:val="21"/>
          <w:lang w:val="en-US" w:eastAsia="zh-CN"/>
        </w:rPr>
        <w:t>CSSCI</w:t>
      </w:r>
      <w:r>
        <w:rPr>
          <w:rFonts w:hint="eastAsia" w:ascii="Times New Roman" w:hAnsi="宋体" w:eastAsia="宋体" w:cs="Times New Roman"/>
          <w:b w:val="0"/>
          <w:bCs w:val="0"/>
          <w:color w:val="auto"/>
          <w:szCs w:val="21"/>
          <w:lang w:val="en-US" w:eastAsia="zh-CN"/>
        </w:rPr>
        <w:t>及以上期刊的</w:t>
      </w:r>
      <w:r>
        <w:rPr>
          <w:rFonts w:ascii="Times New Roman" w:hAnsi="宋体" w:eastAsia="宋体" w:cs="Times New Roman"/>
          <w:b w:val="0"/>
          <w:bCs w:val="0"/>
          <w:color w:val="auto"/>
          <w:szCs w:val="21"/>
        </w:rPr>
        <w:t>社会学相关学术论文</w:t>
      </w:r>
      <w:r>
        <w:rPr>
          <w:rFonts w:hint="eastAsia" w:ascii="Times New Roman" w:hAnsi="宋体" w:eastAsia="宋体" w:cs="Times New Roman"/>
          <w:b w:val="0"/>
          <w:bCs w:val="0"/>
          <w:color w:val="auto"/>
          <w:szCs w:val="21"/>
          <w:lang w:val="en-US" w:eastAsia="zh-CN"/>
        </w:rPr>
        <w:t>，或者不少于1篇以第一作者公开发表在二类及以上期刊的</w:t>
      </w:r>
      <w:r>
        <w:rPr>
          <w:rFonts w:ascii="Times New Roman" w:hAnsi="宋体" w:eastAsia="宋体" w:cs="Times New Roman"/>
          <w:b w:val="0"/>
          <w:bCs w:val="0"/>
          <w:color w:val="auto"/>
          <w:szCs w:val="21"/>
        </w:rPr>
        <w:t>社会学相关学术论文</w:t>
      </w:r>
      <w:r>
        <w:rPr>
          <w:rFonts w:hint="eastAsia" w:ascii="Times New Roman" w:hAnsi="宋体" w:eastAsia="宋体" w:cs="Times New Roman"/>
          <w:b w:val="0"/>
          <w:bCs w:val="0"/>
          <w:color w:val="auto"/>
          <w:szCs w:val="21"/>
        </w:rPr>
        <w:t>；或在硕士学习阶段除导师外为第一作者</w:t>
      </w:r>
      <w:r>
        <w:rPr>
          <w:rFonts w:hint="eastAsia" w:ascii="Times New Roman" w:hAnsi="宋体" w:eastAsia="宋体" w:cs="Times New Roman"/>
          <w:b w:val="0"/>
          <w:bCs w:val="0"/>
          <w:color w:val="auto"/>
          <w:szCs w:val="21"/>
          <w:lang w:eastAsia="zh-CN"/>
        </w:rPr>
        <w:t>、</w:t>
      </w:r>
      <w:r>
        <w:rPr>
          <w:rFonts w:hint="eastAsia" w:ascii="Times New Roman" w:hAnsi="宋体" w:eastAsia="宋体" w:cs="Times New Roman"/>
          <w:b w:val="0"/>
          <w:bCs w:val="0"/>
          <w:color w:val="auto"/>
          <w:szCs w:val="21"/>
        </w:rPr>
        <w:t>发表不少于2篇CSSCI</w:t>
      </w:r>
      <w:r>
        <w:rPr>
          <w:rFonts w:hint="eastAsia" w:ascii="Times New Roman" w:hAnsi="宋体" w:eastAsia="宋体" w:cs="Times New Roman"/>
          <w:b w:val="0"/>
          <w:bCs w:val="0"/>
          <w:color w:val="auto"/>
          <w:szCs w:val="21"/>
          <w:lang w:val="en-US" w:eastAsia="zh-CN"/>
        </w:rPr>
        <w:t>扩展版及以上</w:t>
      </w:r>
      <w:r>
        <w:rPr>
          <w:rFonts w:hint="eastAsia" w:ascii="Times New Roman" w:hAnsi="宋体" w:eastAsia="宋体" w:cs="Times New Roman"/>
          <w:b w:val="0"/>
          <w:bCs w:val="0"/>
          <w:color w:val="auto"/>
          <w:szCs w:val="21"/>
        </w:rPr>
        <w:t>期刊学术论文。</w:t>
      </w:r>
    </w:p>
    <w:p>
      <w:pPr>
        <w:tabs>
          <w:tab w:val="left" w:pos="780"/>
          <w:tab w:val="left" w:pos="900"/>
          <w:tab w:val="left" w:pos="1426"/>
        </w:tabs>
        <w:snapToGrid w:val="0"/>
        <w:spacing w:line="360" w:lineRule="auto"/>
        <w:ind w:firstLine="420" w:firstLineChars="200"/>
        <w:rPr>
          <w:rFonts w:ascii="Times New Roman" w:hAnsi="宋体" w:eastAsia="宋体" w:cs="Times New Roman"/>
          <w:b w:val="0"/>
          <w:bCs w:val="0"/>
          <w:color w:val="auto"/>
          <w:szCs w:val="21"/>
        </w:rPr>
      </w:pPr>
      <w:r>
        <w:rPr>
          <w:rFonts w:hint="eastAsia" w:ascii="Times New Roman" w:hAnsi="宋体" w:eastAsia="宋体" w:cs="Times New Roman"/>
          <w:b w:val="0"/>
          <w:bCs w:val="0"/>
          <w:color w:val="auto"/>
          <w:szCs w:val="21"/>
        </w:rPr>
        <w:t>7.符合上述条件的申请人若超出当年招生数，则需对上述各类情形的申请者按照加分细则依得分高低进行排序，具体情况参照加分细则执行。加分细则另行制定，并经社会与政治学院</w:t>
      </w:r>
      <w:r>
        <w:rPr>
          <w:rFonts w:hint="eastAsia" w:ascii="Times New Roman" w:hAnsi="宋体" w:eastAsia="宋体" w:cs="Times New Roman"/>
          <w:b w:val="0"/>
          <w:bCs w:val="0"/>
          <w:color w:val="auto"/>
          <w:szCs w:val="21"/>
          <w:lang w:eastAsia="zh-CN"/>
        </w:rPr>
        <w:t>选拔考核</w:t>
      </w:r>
      <w:r>
        <w:rPr>
          <w:rFonts w:hint="eastAsia" w:ascii="Times New Roman" w:hAnsi="宋体" w:eastAsia="宋体" w:cs="Times New Roman"/>
          <w:b w:val="0"/>
          <w:bCs w:val="0"/>
          <w:color w:val="auto"/>
          <w:szCs w:val="21"/>
        </w:rPr>
        <w:t>领导小组审议通过。</w:t>
      </w:r>
    </w:p>
    <w:p>
      <w:pPr>
        <w:tabs>
          <w:tab w:val="left" w:pos="960"/>
        </w:tabs>
        <w:snapToGrid w:val="0"/>
        <w:spacing w:beforeLines="50" w:line="360" w:lineRule="auto"/>
        <w:ind w:firstLine="422" w:firstLineChars="200"/>
        <w:rPr>
          <w:rFonts w:ascii="Times New Roman" w:hAnsi="Times New Roman" w:eastAsia="宋体" w:cs="Times New Roman"/>
          <w:b/>
          <w:color w:val="auto"/>
          <w:szCs w:val="21"/>
        </w:rPr>
      </w:pPr>
      <w:r>
        <w:rPr>
          <w:rFonts w:ascii="Times New Roman" w:hAnsi="宋体" w:eastAsia="宋体" w:cs="Times New Roman"/>
          <w:b/>
          <w:color w:val="auto"/>
          <w:szCs w:val="21"/>
        </w:rPr>
        <w:t>第三条</w:t>
      </w:r>
      <w:r>
        <w:rPr>
          <w:rFonts w:hint="eastAsia" w:ascii="Times New Roman" w:hAnsi="宋体" w:eastAsia="宋体" w:cs="Times New Roman"/>
          <w:b/>
          <w:color w:val="auto"/>
          <w:szCs w:val="21"/>
        </w:rPr>
        <w:t xml:space="preserve">  </w:t>
      </w:r>
      <w:r>
        <w:rPr>
          <w:rFonts w:ascii="Times New Roman" w:hAnsi="宋体" w:eastAsia="宋体" w:cs="Times New Roman"/>
          <w:b/>
          <w:color w:val="auto"/>
          <w:szCs w:val="21"/>
        </w:rPr>
        <w:t>招生导师</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宋体" w:eastAsia="宋体" w:cs="Times New Roman"/>
          <w:color w:val="auto"/>
          <w:szCs w:val="24"/>
        </w:rPr>
        <w:t>1.招生导师为</w:t>
      </w:r>
      <w:r>
        <w:rPr>
          <w:rFonts w:ascii="Times New Roman" w:hAnsi="宋体" w:eastAsia="宋体" w:cs="Times New Roman"/>
          <w:color w:val="auto"/>
          <w:szCs w:val="21"/>
        </w:rPr>
        <w:t>通过学院</w:t>
      </w:r>
      <w:r>
        <w:rPr>
          <w:rFonts w:ascii="Times New Roman" w:hAnsi="Times New Roman" w:eastAsia="宋体" w:cs="Times New Roman"/>
          <w:color w:val="auto"/>
          <w:szCs w:val="21"/>
        </w:rPr>
        <w:t>20</w:t>
      </w:r>
      <w:r>
        <w:rPr>
          <w:rFonts w:hint="eastAsia" w:ascii="Times New Roman" w:hAnsi="Times New Roman" w:eastAsia="宋体" w:cs="Times New Roman"/>
          <w:color w:val="auto"/>
          <w:szCs w:val="21"/>
        </w:rPr>
        <w:t>2</w:t>
      </w:r>
      <w:r>
        <w:rPr>
          <w:rFonts w:hint="eastAsia" w:ascii="Times New Roman" w:hAnsi="Times New Roman" w:eastAsia="宋体" w:cs="Times New Roman"/>
          <w:color w:val="auto"/>
          <w:szCs w:val="21"/>
          <w:lang w:val="en-US" w:eastAsia="zh-CN"/>
        </w:rPr>
        <w:t>2</w:t>
      </w:r>
      <w:r>
        <w:rPr>
          <w:rFonts w:ascii="Times New Roman" w:hAnsi="宋体" w:eastAsia="宋体" w:cs="Times New Roman"/>
          <w:color w:val="auto"/>
          <w:szCs w:val="21"/>
        </w:rPr>
        <w:t>年博士生导师年度招生资格审核，并公告获得</w:t>
      </w:r>
      <w:r>
        <w:rPr>
          <w:rFonts w:ascii="Times New Roman" w:hAnsi="Times New Roman" w:eastAsia="宋体" w:cs="Times New Roman"/>
          <w:color w:val="auto"/>
          <w:szCs w:val="21"/>
        </w:rPr>
        <w:t>20</w:t>
      </w:r>
      <w:r>
        <w:rPr>
          <w:rFonts w:hint="eastAsia" w:ascii="Times New Roman" w:hAnsi="Times New Roman" w:eastAsia="宋体" w:cs="Times New Roman"/>
          <w:color w:val="auto"/>
          <w:szCs w:val="21"/>
        </w:rPr>
        <w:t>2</w:t>
      </w:r>
      <w:r>
        <w:rPr>
          <w:rFonts w:hint="eastAsia" w:ascii="Times New Roman" w:hAnsi="Times New Roman" w:eastAsia="宋体" w:cs="Times New Roman"/>
          <w:color w:val="auto"/>
          <w:szCs w:val="21"/>
          <w:lang w:val="en-US" w:eastAsia="zh-CN"/>
        </w:rPr>
        <w:t>2</w:t>
      </w:r>
      <w:r>
        <w:rPr>
          <w:rFonts w:ascii="Times New Roman" w:hAnsi="宋体" w:eastAsia="宋体" w:cs="Times New Roman"/>
          <w:color w:val="auto"/>
          <w:szCs w:val="21"/>
        </w:rPr>
        <w:t>年度博士生招生资格的教师。</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宋体" w:eastAsia="宋体" w:cs="Times New Roman"/>
          <w:color w:val="auto"/>
          <w:szCs w:val="24"/>
        </w:rPr>
        <w:t>2.除专项计划外，</w:t>
      </w:r>
      <w:r>
        <w:rPr>
          <w:rFonts w:ascii="Times New Roman" w:hAnsi="宋体" w:eastAsia="宋体" w:cs="Times New Roman"/>
          <w:color w:val="auto"/>
          <w:szCs w:val="24"/>
        </w:rPr>
        <w:t>每位博士研究生导师每年招收</w:t>
      </w:r>
      <w:r>
        <w:rPr>
          <w:rFonts w:hint="eastAsia" w:ascii="Times New Roman" w:hAnsi="宋体" w:eastAsia="宋体" w:cs="Times New Roman"/>
          <w:color w:val="auto"/>
          <w:szCs w:val="24"/>
        </w:rPr>
        <w:t>不超过</w:t>
      </w:r>
      <w:r>
        <w:rPr>
          <w:rFonts w:ascii="Times New Roman" w:hAnsi="Times New Roman" w:eastAsia="宋体" w:cs="Times New Roman"/>
          <w:color w:val="auto"/>
          <w:szCs w:val="24"/>
        </w:rPr>
        <w:t>1</w:t>
      </w:r>
      <w:r>
        <w:rPr>
          <w:rFonts w:ascii="Times New Roman" w:hAnsi="宋体" w:eastAsia="宋体" w:cs="Times New Roman"/>
          <w:color w:val="auto"/>
          <w:szCs w:val="24"/>
        </w:rPr>
        <w:t>名博士研究生。</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3.</w:t>
      </w:r>
      <w:r>
        <w:rPr>
          <w:rFonts w:ascii="Times New Roman" w:hAnsi="宋体" w:eastAsia="宋体" w:cs="Times New Roman"/>
          <w:color w:val="auto"/>
          <w:szCs w:val="21"/>
        </w:rPr>
        <w:t>选拔过程中，允许硕博连读、申请审核制博士生在</w:t>
      </w:r>
      <w:r>
        <w:rPr>
          <w:rFonts w:hint="eastAsia" w:ascii="Times New Roman" w:hAnsi="宋体" w:eastAsia="宋体" w:cs="Times New Roman"/>
          <w:color w:val="auto"/>
          <w:szCs w:val="21"/>
        </w:rPr>
        <w:t>一级学科内</w:t>
      </w:r>
      <w:r>
        <w:rPr>
          <w:rFonts w:ascii="Times New Roman" w:hAnsi="宋体" w:eastAsia="宋体" w:cs="Times New Roman"/>
          <w:color w:val="auto"/>
          <w:szCs w:val="21"/>
        </w:rPr>
        <w:t>更换专业、导师</w:t>
      </w:r>
      <w:r>
        <w:rPr>
          <w:rFonts w:hint="eastAsia" w:ascii="Times New Roman" w:hAnsi="宋体" w:eastAsia="宋体" w:cs="Times New Roman"/>
          <w:color w:val="auto"/>
          <w:szCs w:val="21"/>
        </w:rPr>
        <w:t>。</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宋体" w:eastAsia="宋体" w:cs="Times New Roman"/>
          <w:color w:val="auto"/>
          <w:szCs w:val="21"/>
        </w:rPr>
        <w:t>4.</w:t>
      </w:r>
      <w:r>
        <w:rPr>
          <w:rFonts w:hint="eastAsia" w:ascii="Times New Roman" w:hAnsi="宋体" w:eastAsia="宋体" w:cs="Times New Roman"/>
          <w:bCs/>
          <w:color w:val="auto"/>
          <w:szCs w:val="21"/>
        </w:rPr>
        <w:t>若当年符合条件的博士生导师数量多于当年的博士招生名额，则按照由申请人选择导师的方式进行录取，没有申请人选择的导师当年不予以招收硕博连读与申请考核制博士生。</w:t>
      </w:r>
    </w:p>
    <w:p>
      <w:pPr>
        <w:tabs>
          <w:tab w:val="left" w:pos="826"/>
        </w:tabs>
        <w:snapToGrid w:val="0"/>
        <w:spacing w:line="360" w:lineRule="auto"/>
        <w:ind w:firstLine="420" w:firstLineChars="200"/>
        <w:rPr>
          <w:rFonts w:ascii="Times New Roman" w:hAnsi="宋体" w:eastAsia="宋体" w:cs="Times New Roman"/>
          <w:color w:val="auto"/>
          <w:szCs w:val="21"/>
        </w:rPr>
      </w:pPr>
      <w:r>
        <w:rPr>
          <w:rFonts w:hint="eastAsia" w:ascii="Times New Roman" w:hAnsi="宋体" w:eastAsia="宋体" w:cs="Times New Roman"/>
          <w:color w:val="auto"/>
          <w:szCs w:val="21"/>
        </w:rPr>
        <w:t>5.</w:t>
      </w:r>
      <w:r>
        <w:rPr>
          <w:rFonts w:ascii="Times New Roman" w:hAnsi="宋体" w:eastAsia="宋体" w:cs="Times New Roman"/>
          <w:color w:val="auto"/>
          <w:szCs w:val="21"/>
        </w:rPr>
        <w:t>招收硕博连读和申请审核制博士生的导师，应为博士生提供相应的助研经费</w:t>
      </w:r>
      <w:r>
        <w:rPr>
          <w:rFonts w:hint="eastAsia" w:ascii="Times New Roman" w:hAnsi="宋体" w:eastAsia="宋体" w:cs="Times New Roman"/>
          <w:color w:val="auto"/>
          <w:szCs w:val="21"/>
        </w:rPr>
        <w:t>，具体数额参照研究生院相关规定执行</w:t>
      </w:r>
      <w:r>
        <w:rPr>
          <w:rFonts w:ascii="Times New Roman" w:hAnsi="宋体" w:eastAsia="宋体" w:cs="Times New Roman"/>
          <w:color w:val="auto"/>
          <w:szCs w:val="21"/>
        </w:rPr>
        <w:t>。</w:t>
      </w:r>
    </w:p>
    <w:p>
      <w:pPr>
        <w:tabs>
          <w:tab w:val="left" w:pos="826"/>
        </w:tabs>
        <w:snapToGrid w:val="0"/>
        <w:spacing w:line="360" w:lineRule="auto"/>
        <w:ind w:firstLine="422" w:firstLineChars="200"/>
        <w:rPr>
          <w:rFonts w:ascii="Times New Roman" w:hAnsi="Times New Roman" w:eastAsia="宋体" w:cs="Times New Roman"/>
          <w:b/>
          <w:color w:val="auto"/>
          <w:szCs w:val="21"/>
        </w:rPr>
      </w:pPr>
      <w:r>
        <w:rPr>
          <w:rFonts w:ascii="Times New Roman" w:hAnsi="宋体" w:eastAsia="宋体" w:cs="Times New Roman"/>
          <w:b/>
          <w:color w:val="auto"/>
          <w:szCs w:val="21"/>
        </w:rPr>
        <w:t>第四条</w:t>
      </w:r>
      <w:r>
        <w:rPr>
          <w:rFonts w:hint="eastAsia" w:ascii="Times New Roman" w:hAnsi="宋体" w:eastAsia="宋体" w:cs="Times New Roman"/>
          <w:b/>
          <w:color w:val="auto"/>
          <w:szCs w:val="21"/>
        </w:rPr>
        <w:t xml:space="preserve">  </w:t>
      </w:r>
      <w:r>
        <w:rPr>
          <w:rFonts w:ascii="Times New Roman" w:hAnsi="宋体" w:eastAsia="宋体" w:cs="Times New Roman"/>
          <w:b/>
          <w:color w:val="auto"/>
          <w:szCs w:val="21"/>
        </w:rPr>
        <w:t>工作机构</w:t>
      </w:r>
    </w:p>
    <w:p>
      <w:pPr>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1.学院成立20</w:t>
      </w:r>
      <w:r>
        <w:rPr>
          <w:rFonts w:hint="eastAsia" w:ascii="Times New Roman" w:hAnsi="Times New Roman" w:eastAsia="宋体" w:cs="Times New Roman"/>
          <w:color w:val="auto"/>
          <w:szCs w:val="21"/>
        </w:rPr>
        <w:t>2</w:t>
      </w:r>
      <w:r>
        <w:rPr>
          <w:rFonts w:hint="eastAsia" w:ascii="Times New Roman" w:hAnsi="Times New Roman" w:eastAsia="宋体" w:cs="Times New Roman"/>
          <w:color w:val="auto"/>
          <w:szCs w:val="21"/>
          <w:lang w:val="en-US" w:eastAsia="zh-CN"/>
        </w:rPr>
        <w:t>2</w:t>
      </w:r>
      <w:r>
        <w:rPr>
          <w:rFonts w:ascii="Times New Roman" w:hAnsi="Times New Roman" w:eastAsia="宋体" w:cs="Times New Roman"/>
          <w:color w:val="auto"/>
          <w:szCs w:val="21"/>
        </w:rPr>
        <w:t>年硕博连读和申请审核制博士生</w:t>
      </w:r>
      <w:r>
        <w:rPr>
          <w:rFonts w:hint="eastAsia" w:ascii="Times New Roman" w:hAnsi="Times New Roman" w:eastAsia="宋体" w:cs="Times New Roman"/>
          <w:color w:val="auto"/>
          <w:szCs w:val="21"/>
          <w:lang w:eastAsia="zh-CN"/>
        </w:rPr>
        <w:t>选拔考核</w:t>
      </w:r>
      <w:r>
        <w:rPr>
          <w:rFonts w:ascii="Times New Roman" w:hAnsi="Times New Roman" w:eastAsia="宋体" w:cs="Times New Roman"/>
          <w:color w:val="auto"/>
          <w:szCs w:val="21"/>
        </w:rPr>
        <w:t>领导小组（以下简称为“</w:t>
      </w:r>
      <w:r>
        <w:rPr>
          <w:rFonts w:hint="eastAsia" w:ascii="Times New Roman" w:hAnsi="Times New Roman" w:eastAsia="宋体" w:cs="Times New Roman"/>
          <w:color w:val="auto"/>
          <w:szCs w:val="21"/>
          <w:lang w:eastAsia="zh-CN"/>
        </w:rPr>
        <w:t>选拔考核</w:t>
      </w:r>
      <w:r>
        <w:rPr>
          <w:rFonts w:ascii="Times New Roman" w:hAnsi="Times New Roman" w:eastAsia="宋体" w:cs="Times New Roman"/>
          <w:color w:val="auto"/>
          <w:szCs w:val="21"/>
        </w:rPr>
        <w:t>领导小组”），负责组织本次</w:t>
      </w:r>
      <w:r>
        <w:rPr>
          <w:rFonts w:hint="eastAsia" w:ascii="Times New Roman" w:hAnsi="Times New Roman" w:eastAsia="宋体" w:cs="Times New Roman"/>
          <w:color w:val="auto"/>
          <w:szCs w:val="21"/>
          <w:lang w:eastAsia="zh-CN"/>
        </w:rPr>
        <w:t>选拔考核</w:t>
      </w:r>
      <w:r>
        <w:rPr>
          <w:rFonts w:ascii="Times New Roman" w:hAnsi="Times New Roman" w:eastAsia="宋体" w:cs="Times New Roman"/>
          <w:color w:val="auto"/>
          <w:szCs w:val="21"/>
        </w:rPr>
        <w:t>工作，对各项重大事项和争议作出决定和裁决。</w:t>
      </w:r>
      <w:r>
        <w:rPr>
          <w:rFonts w:hint="eastAsia" w:ascii="Times New Roman" w:hAnsi="Times New Roman" w:eastAsia="宋体" w:cs="Times New Roman"/>
          <w:color w:val="auto"/>
          <w:szCs w:val="21"/>
        </w:rPr>
        <w:t>考核领导小组由学院领导班子、院纪委书记、院学术委员会主任委员、院学位分委员会主任组成。</w:t>
      </w:r>
    </w:p>
    <w:p>
      <w:pPr>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2.列入20</w:t>
      </w:r>
      <w:r>
        <w:rPr>
          <w:rFonts w:hint="eastAsia" w:ascii="Times New Roman" w:hAnsi="Times New Roman" w:eastAsia="宋体" w:cs="Times New Roman"/>
          <w:color w:val="auto"/>
          <w:szCs w:val="21"/>
        </w:rPr>
        <w:t>2</w:t>
      </w:r>
      <w:r>
        <w:rPr>
          <w:rFonts w:hint="eastAsia" w:ascii="Times New Roman" w:hAnsi="Times New Roman" w:eastAsia="宋体" w:cs="Times New Roman"/>
          <w:color w:val="auto"/>
          <w:szCs w:val="21"/>
          <w:lang w:val="en-US" w:eastAsia="zh-CN"/>
        </w:rPr>
        <w:t>2</w:t>
      </w:r>
      <w:r>
        <w:rPr>
          <w:rFonts w:ascii="Times New Roman" w:hAnsi="Times New Roman" w:eastAsia="宋体" w:cs="Times New Roman"/>
          <w:color w:val="auto"/>
          <w:szCs w:val="21"/>
        </w:rPr>
        <w:t>年度博士招生计划的</w:t>
      </w:r>
      <w:r>
        <w:rPr>
          <w:rFonts w:hint="eastAsia" w:ascii="Times New Roman" w:hAnsi="Times New Roman" w:eastAsia="宋体" w:cs="Times New Roman"/>
          <w:color w:val="auto"/>
          <w:szCs w:val="21"/>
        </w:rPr>
        <w:t>社会学一级学科</w:t>
      </w:r>
      <w:r>
        <w:rPr>
          <w:rFonts w:ascii="Times New Roman" w:hAnsi="Times New Roman" w:eastAsia="宋体" w:cs="Times New Roman"/>
          <w:color w:val="auto"/>
          <w:szCs w:val="21"/>
        </w:rPr>
        <w:t>各学科方向博士生导师组成</w:t>
      </w:r>
      <w:r>
        <w:rPr>
          <w:rFonts w:hint="eastAsia" w:ascii="Times New Roman" w:hAnsi="Times New Roman" w:eastAsia="宋体" w:cs="Times New Roman"/>
          <w:color w:val="auto"/>
          <w:szCs w:val="21"/>
          <w:lang w:eastAsia="zh-CN"/>
        </w:rPr>
        <w:t>选拔考核</w:t>
      </w:r>
      <w:r>
        <w:rPr>
          <w:rFonts w:ascii="Times New Roman" w:hAnsi="Times New Roman" w:eastAsia="宋体" w:cs="Times New Roman"/>
          <w:color w:val="auto"/>
          <w:szCs w:val="21"/>
        </w:rPr>
        <w:t>小组，成员不少于5人</w:t>
      </w:r>
      <w:r>
        <w:rPr>
          <w:rFonts w:hint="eastAsia" w:ascii="Times New Roman" w:hAnsi="Times New Roman" w:eastAsia="宋体" w:cs="Times New Roman"/>
          <w:color w:val="auto"/>
          <w:szCs w:val="21"/>
        </w:rPr>
        <w:t>，组长由分管研究生教育工作的副院长担任</w:t>
      </w:r>
      <w:r>
        <w:rPr>
          <w:rFonts w:ascii="Times New Roman" w:hAnsi="Times New Roman" w:eastAsia="宋体" w:cs="Times New Roman"/>
          <w:color w:val="auto"/>
          <w:szCs w:val="21"/>
        </w:rPr>
        <w:t>。</w:t>
      </w:r>
    </w:p>
    <w:p>
      <w:pPr>
        <w:snapToGrid w:val="0"/>
        <w:spacing w:line="360" w:lineRule="auto"/>
        <w:ind w:firstLine="422" w:firstLineChars="200"/>
        <w:rPr>
          <w:rFonts w:hint="eastAsia" w:ascii="Times New Roman" w:hAnsi="宋体" w:eastAsia="宋体" w:cs="Times New Roman"/>
          <w:b/>
          <w:color w:val="auto"/>
          <w:szCs w:val="21"/>
        </w:rPr>
      </w:pPr>
      <w:r>
        <w:rPr>
          <w:rFonts w:hint="eastAsia" w:ascii="Times New Roman" w:hAnsi="宋体" w:eastAsia="宋体" w:cs="Times New Roman"/>
          <w:b/>
          <w:color w:val="auto"/>
          <w:szCs w:val="21"/>
        </w:rPr>
        <w:t>第五条 选拔程序</w:t>
      </w:r>
    </w:p>
    <w:p>
      <w:pPr>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1.个人申请。申请人登录中国研究生招生信息网（http://yz.chsi.com.cn），进行网上报名、缴费，</w:t>
      </w:r>
      <w:r>
        <w:rPr>
          <w:rFonts w:ascii="Times New Roman" w:hAnsi="Times New Roman" w:eastAsia="宋体" w:cs="Times New Roman"/>
          <w:color w:val="auto"/>
          <w:szCs w:val="21"/>
        </w:rPr>
        <w:t>并提交</w:t>
      </w:r>
      <w:r>
        <w:rPr>
          <w:rFonts w:hint="eastAsia" w:ascii="Times New Roman" w:hAnsi="Times New Roman" w:eastAsia="宋体" w:cs="Times New Roman"/>
          <w:color w:val="auto"/>
          <w:szCs w:val="21"/>
        </w:rPr>
        <w:t>相关</w:t>
      </w:r>
      <w:r>
        <w:rPr>
          <w:rFonts w:ascii="Times New Roman" w:hAnsi="Times New Roman" w:eastAsia="宋体" w:cs="Times New Roman"/>
          <w:color w:val="auto"/>
          <w:szCs w:val="21"/>
        </w:rPr>
        <w:t>材料</w:t>
      </w:r>
      <w:r>
        <w:rPr>
          <w:rFonts w:hint="eastAsia" w:ascii="Times New Roman" w:hAnsi="Times New Roman" w:eastAsia="宋体" w:cs="Times New Roman"/>
          <w:color w:val="auto"/>
          <w:szCs w:val="21"/>
        </w:rPr>
        <w:t>到社会与政治学院审核。</w:t>
      </w:r>
    </w:p>
    <w:p>
      <w:pPr>
        <w:snapToGrid w:val="0"/>
        <w:spacing w:line="360" w:lineRule="auto"/>
        <w:ind w:firstLine="422" w:firstLineChars="200"/>
        <w:rPr>
          <w:rFonts w:hint="eastAsia" w:ascii="Times New Roman" w:hAnsi="Times New Roman" w:eastAsia="宋体" w:cs="Times New Roman"/>
          <w:b/>
          <w:bCs/>
          <w:color w:val="auto"/>
          <w:szCs w:val="21"/>
          <w:u w:val="thick"/>
        </w:rPr>
      </w:pPr>
      <w:r>
        <w:rPr>
          <w:rFonts w:hint="eastAsia" w:ascii="Times New Roman" w:hAnsi="Times New Roman" w:eastAsia="宋体" w:cs="Times New Roman"/>
          <w:b/>
          <w:bCs/>
          <w:color w:val="auto"/>
          <w:szCs w:val="21"/>
          <w:u w:val="thick"/>
        </w:rPr>
        <w:t>注意：申请人的申请材料与科研成果原件及复印件须通过顺丰快递的方式邮寄到安徽大学社会与政治学院研究生教育办公室，地址：安徽省合肥市经开区九龙路111号安徽大学磬苑校区社科楼B401社会与政治学院研究生教育办公室，联系人：杨渺，电话：14790496326。</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2.提交申请材料。申请人需提交《安徽</w:t>
      </w:r>
      <w:r>
        <w:rPr>
          <w:rFonts w:ascii="Times New Roman" w:hAnsi="Times New Roman" w:eastAsia="宋体" w:cs="Times New Roman"/>
          <w:color w:val="auto"/>
          <w:szCs w:val="21"/>
        </w:rPr>
        <w:t>大学</w:t>
      </w:r>
      <w:r>
        <w:rPr>
          <w:rFonts w:hint="eastAsia" w:ascii="Times New Roman" w:hAnsi="Times New Roman" w:eastAsia="宋体" w:cs="Times New Roman"/>
          <w:color w:val="auto"/>
          <w:szCs w:val="21"/>
        </w:rPr>
        <w:t>202</w:t>
      </w:r>
      <w:r>
        <w:rPr>
          <w:rFonts w:hint="eastAsia" w:ascii="Times New Roman" w:hAnsi="Times New Roman" w:eastAsia="宋体" w:cs="Times New Roman"/>
          <w:color w:val="auto"/>
          <w:szCs w:val="21"/>
          <w:lang w:val="en-US" w:eastAsia="zh-CN"/>
        </w:rPr>
        <w:t>2</w:t>
      </w:r>
      <w:r>
        <w:rPr>
          <w:rFonts w:hint="eastAsia" w:ascii="Times New Roman" w:hAnsi="Times New Roman" w:eastAsia="宋体" w:cs="Times New Roman"/>
          <w:color w:val="auto"/>
          <w:szCs w:val="21"/>
        </w:rPr>
        <w:t>年</w:t>
      </w:r>
      <w:r>
        <w:rPr>
          <w:rFonts w:ascii="Times New Roman" w:hAnsi="Times New Roman" w:eastAsia="宋体" w:cs="Times New Roman"/>
          <w:color w:val="auto"/>
          <w:szCs w:val="21"/>
        </w:rPr>
        <w:t>硕博连读及申请审核制博士生申请公告</w:t>
      </w:r>
      <w:r>
        <w:rPr>
          <w:rFonts w:hint="eastAsia" w:ascii="Times New Roman" w:hAnsi="Times New Roman" w:eastAsia="宋体" w:cs="Times New Roman"/>
          <w:color w:val="auto"/>
          <w:szCs w:val="21"/>
        </w:rPr>
        <w:t>》中要求</w:t>
      </w:r>
      <w:r>
        <w:rPr>
          <w:rFonts w:ascii="Times New Roman" w:hAnsi="Times New Roman" w:eastAsia="宋体" w:cs="Times New Roman"/>
          <w:color w:val="auto"/>
          <w:szCs w:val="21"/>
        </w:rPr>
        <w:t>的</w:t>
      </w:r>
      <w:r>
        <w:rPr>
          <w:rFonts w:hint="eastAsia" w:ascii="Times New Roman" w:hAnsi="Times New Roman" w:eastAsia="宋体" w:cs="Times New Roman"/>
          <w:color w:val="auto"/>
          <w:szCs w:val="21"/>
        </w:rPr>
        <w:t>材料</w:t>
      </w:r>
      <w:r>
        <w:rPr>
          <w:rFonts w:ascii="Times New Roman" w:hAnsi="Times New Roman" w:eastAsia="宋体" w:cs="Times New Roman"/>
          <w:color w:val="auto"/>
          <w:szCs w:val="21"/>
        </w:rPr>
        <w:t>，且</w:t>
      </w:r>
      <w:r>
        <w:rPr>
          <w:rFonts w:hint="eastAsia" w:ascii="Times New Roman" w:hAnsi="Times New Roman" w:eastAsia="宋体" w:cs="Times New Roman"/>
          <w:color w:val="auto"/>
          <w:szCs w:val="21"/>
        </w:rPr>
        <w:t>同时</w:t>
      </w:r>
      <w:r>
        <w:rPr>
          <w:rFonts w:ascii="Times New Roman" w:hAnsi="Times New Roman" w:eastAsia="宋体" w:cs="Times New Roman"/>
          <w:color w:val="auto"/>
          <w:szCs w:val="21"/>
        </w:rPr>
        <w:t>需</w:t>
      </w:r>
      <w:r>
        <w:rPr>
          <w:rFonts w:hint="eastAsia" w:ascii="Times New Roman" w:hAnsi="Times New Roman" w:eastAsia="宋体" w:cs="Times New Roman"/>
          <w:color w:val="auto"/>
          <w:szCs w:val="21"/>
        </w:rPr>
        <w:t>提交我院</w:t>
      </w:r>
      <w:r>
        <w:rPr>
          <w:rFonts w:ascii="Times New Roman" w:hAnsi="Times New Roman" w:eastAsia="宋体" w:cs="Times New Roman"/>
          <w:color w:val="auto"/>
          <w:szCs w:val="21"/>
        </w:rPr>
        <w:t>要求的其他</w:t>
      </w:r>
      <w:r>
        <w:rPr>
          <w:rFonts w:hint="eastAsia" w:ascii="Times New Roman" w:hAnsi="Times New Roman" w:eastAsia="宋体" w:cs="Times New Roman"/>
          <w:color w:val="auto"/>
          <w:szCs w:val="21"/>
        </w:rPr>
        <w:t>申请材料（材料要求A4纸规格按顺序排列）：</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）能够证明外语能力的有效材料原件及复印件。</w:t>
      </w:r>
    </w:p>
    <w:p>
      <w:pPr>
        <w:tabs>
          <w:tab w:val="left" w:pos="780"/>
          <w:tab w:val="left" w:pos="900"/>
          <w:tab w:val="left" w:pos="1426"/>
        </w:tabs>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提交一份博士学习期间的研究计划</w:t>
      </w:r>
      <w:r>
        <w:rPr>
          <w:rFonts w:hint="eastAsia" w:ascii="Times New Roman" w:hAnsi="Times New Roman" w:eastAsia="宋体" w:cs="Times New Roman"/>
          <w:color w:val="auto"/>
          <w:szCs w:val="21"/>
        </w:rPr>
        <w:t>。</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以上提供材料必须真实可靠，如有伪造，一经发现，取消其申请资格。</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3.初审。由学院组织初审，主要审查材料是否齐全、是否符合报名条件以及材料是否真实等。</w:t>
      </w:r>
    </w:p>
    <w:p>
      <w:pPr>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4.</w:t>
      </w:r>
      <w:r>
        <w:rPr>
          <w:rFonts w:hint="eastAsia" w:ascii="Times New Roman" w:hAnsi="Times New Roman" w:eastAsia="宋体" w:cs="Times New Roman"/>
          <w:color w:val="auto"/>
          <w:szCs w:val="21"/>
          <w:lang w:eastAsia="zh-CN"/>
        </w:rPr>
        <w:t>选拔考核</w:t>
      </w:r>
      <w:r>
        <w:rPr>
          <w:rFonts w:hint="eastAsia" w:ascii="Times New Roman" w:hAnsi="Times New Roman" w:eastAsia="宋体" w:cs="Times New Roman"/>
          <w:color w:val="auto"/>
          <w:szCs w:val="21"/>
        </w:rPr>
        <w:t>。具体考核办法如下：</w:t>
      </w:r>
    </w:p>
    <w:p>
      <w:pPr>
        <w:pStyle w:val="4"/>
        <w:shd w:val="clear" w:color="auto" w:fill="FFFFFF"/>
        <w:spacing w:beforeAutospacing="0" w:afterAutospacing="0"/>
        <w:ind w:firstLine="480" w:firstLineChars="200"/>
        <w:jc w:val="both"/>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szCs w:val="21"/>
          <w:lang w:eastAsia="zh-CN"/>
        </w:rPr>
        <w:t>（</w:t>
      </w:r>
      <w:r>
        <w:rPr>
          <w:rFonts w:hint="eastAsia" w:ascii="Times New Roman" w:hAnsi="Times New Roman" w:eastAsia="宋体" w:cs="Times New Roman"/>
          <w:b w:val="0"/>
          <w:bCs w:val="0"/>
          <w:color w:val="auto"/>
          <w:szCs w:val="21"/>
          <w:lang w:val="en-US" w:eastAsia="zh-CN"/>
        </w:rPr>
        <w:t>1</w:t>
      </w:r>
      <w:r>
        <w:rPr>
          <w:rFonts w:hint="eastAsia" w:ascii="Times New Roman" w:hAnsi="Times New Roman" w:eastAsia="宋体" w:cs="Times New Roman"/>
          <w:b w:val="0"/>
          <w:bCs w:val="0"/>
          <w:color w:val="auto"/>
          <w:szCs w:val="21"/>
          <w:lang w:eastAsia="zh-CN"/>
        </w:rPr>
        <w:t>）</w:t>
      </w:r>
      <w:r>
        <w:rPr>
          <w:rFonts w:hint="eastAsia" w:ascii="Times New Roman" w:hAnsi="Times New Roman" w:eastAsia="宋体" w:cs="Times New Roman"/>
          <w:b w:val="0"/>
          <w:bCs w:val="0"/>
          <w:color w:val="auto"/>
          <w:kern w:val="2"/>
          <w:sz w:val="21"/>
          <w:szCs w:val="21"/>
          <w:lang w:val="en-US" w:eastAsia="zh-CN" w:bidi="ar-SA"/>
        </w:rPr>
        <w:t>2022年硕博连读和申请审核制博士生由选拔考核小组负责考核。考核方式是线上还是线下届时视疫情情况根据研究生院统一安排确定。</w:t>
      </w:r>
    </w:p>
    <w:p>
      <w:pPr>
        <w:pStyle w:val="4"/>
        <w:shd w:val="clear" w:color="auto" w:fill="FFFFFF"/>
        <w:spacing w:beforeAutospacing="0" w:afterAutospacing="0"/>
        <w:ind w:firstLine="420" w:firstLineChars="200"/>
        <w:jc w:val="both"/>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kern w:val="2"/>
          <w:sz w:val="21"/>
          <w:szCs w:val="21"/>
          <w:lang w:val="en-US" w:eastAsia="zh-CN" w:bidi="ar-SA"/>
        </w:rPr>
        <w:t>正常情况下，考核选拔总成绩满分100分，由笔试成绩、科研成果成绩、面试成绩相加。其中，笔试成绩占20%，科研成果成绩成绩占40%，面试成绩占40%，即申请人成绩=笔试成绩×20%+科研成果成绩×40% +面试成绩×40%。</w:t>
      </w:r>
    </w:p>
    <w:p>
      <w:pPr>
        <w:pStyle w:val="4"/>
        <w:shd w:val="clear" w:color="auto" w:fill="FFFFFF"/>
        <w:spacing w:beforeAutospacing="0" w:afterAutospacing="0"/>
        <w:ind w:firstLine="420" w:firstLineChars="200"/>
        <w:jc w:val="both"/>
        <w:rPr>
          <w:rFonts w:hint="default"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kern w:val="2"/>
          <w:sz w:val="21"/>
          <w:szCs w:val="21"/>
          <w:lang w:val="en-US" w:eastAsia="zh-CN" w:bidi="ar-SA"/>
        </w:rPr>
        <w:t>若因疫情原因不能到现场面试的情况下，则考核选拔总成绩由两部分组成，科研成果成绩占50%，面试成绩占50%，即申请人成绩=科研成果成绩×50% +面试成绩×50%。</w:t>
      </w:r>
    </w:p>
    <w:p>
      <w:pPr>
        <w:numPr>
          <w:ilvl w:val="0"/>
          <w:numId w:val="1"/>
        </w:numPr>
        <w:tabs>
          <w:tab w:val="left" w:pos="826"/>
        </w:tabs>
        <w:snapToGrid w:val="0"/>
        <w:spacing w:line="360" w:lineRule="auto"/>
        <w:ind w:firstLine="420" w:firstLineChars="200"/>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val="en-US" w:eastAsia="zh-CN"/>
        </w:rPr>
        <w:t>笔试成绩：笔试原则上采用闭卷方式，现场考试。笔试成绩满分100分。笔试科目为社会学专业综合知识。</w:t>
      </w:r>
    </w:p>
    <w:p>
      <w:pPr>
        <w:numPr>
          <w:ilvl w:val="0"/>
          <w:numId w:val="1"/>
        </w:numPr>
        <w:tabs>
          <w:tab w:val="left" w:pos="826"/>
        </w:tabs>
        <w:snapToGrid w:val="0"/>
        <w:spacing w:line="360" w:lineRule="auto"/>
        <w:ind w:firstLine="420" w:firstLineChars="200"/>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val="en-US" w:eastAsia="zh-CN"/>
        </w:rPr>
        <w:t>科研成果成绩：</w:t>
      </w:r>
      <w:r>
        <w:rPr>
          <w:rFonts w:hint="eastAsia" w:ascii="Times New Roman" w:hAnsi="Times New Roman" w:eastAsia="宋体" w:cs="Times New Roman"/>
          <w:b w:val="0"/>
          <w:bCs w:val="0"/>
          <w:color w:val="auto"/>
          <w:szCs w:val="21"/>
          <w:lang w:eastAsia="zh-CN"/>
        </w:rPr>
        <w:t>选拔考核</w:t>
      </w:r>
      <w:r>
        <w:rPr>
          <w:rFonts w:hint="eastAsia" w:ascii="Times New Roman" w:hAnsi="Times New Roman" w:eastAsia="宋体" w:cs="Times New Roman"/>
          <w:b w:val="0"/>
          <w:bCs w:val="0"/>
          <w:color w:val="auto"/>
          <w:szCs w:val="21"/>
        </w:rPr>
        <w:t>小组负责对所有申请人的科研成果依据加分细则进行加分汇总</w:t>
      </w:r>
      <w:r>
        <w:rPr>
          <w:rFonts w:hint="eastAsia" w:ascii="Times New Roman" w:hAnsi="Times New Roman" w:eastAsia="宋体" w:cs="Times New Roman"/>
          <w:b w:val="0"/>
          <w:bCs w:val="0"/>
          <w:color w:val="auto"/>
          <w:szCs w:val="21"/>
          <w:lang w:eastAsia="zh-CN"/>
        </w:rPr>
        <w:t>。</w:t>
      </w:r>
      <w:r>
        <w:rPr>
          <w:rFonts w:hint="eastAsia" w:ascii="Times New Roman" w:hAnsi="Times New Roman" w:eastAsia="宋体" w:cs="Times New Roman"/>
          <w:b w:val="0"/>
          <w:bCs w:val="0"/>
          <w:color w:val="auto"/>
          <w:szCs w:val="21"/>
          <w:lang w:val="en-US" w:eastAsia="zh-CN"/>
        </w:rPr>
        <w:t>其中，满足资格门槛条件即可获得基础分60分，所有科研成果加分最高为100分（含门槛分）。</w:t>
      </w:r>
    </w:p>
    <w:p>
      <w:pPr>
        <w:numPr>
          <w:ilvl w:val="0"/>
          <w:numId w:val="1"/>
        </w:numPr>
        <w:tabs>
          <w:tab w:val="left" w:pos="826"/>
        </w:tabs>
        <w:snapToGrid w:val="0"/>
        <w:spacing w:line="360" w:lineRule="auto"/>
        <w:ind w:firstLine="420" w:firstLineChars="200"/>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lang w:val="en-US" w:eastAsia="zh-CN"/>
        </w:rPr>
        <w:t>面试成绩：</w:t>
      </w:r>
      <w:r>
        <w:rPr>
          <w:rFonts w:hint="eastAsia" w:ascii="Times New Roman" w:hAnsi="Times New Roman" w:eastAsia="宋体" w:cs="Times New Roman"/>
          <w:b w:val="0"/>
          <w:bCs w:val="0"/>
          <w:color w:val="auto"/>
          <w:szCs w:val="21"/>
          <w:lang w:eastAsia="zh-CN"/>
        </w:rPr>
        <w:t>选拔考核</w:t>
      </w:r>
      <w:r>
        <w:rPr>
          <w:rFonts w:ascii="Times New Roman" w:hAnsi="Times New Roman" w:eastAsia="宋体" w:cs="Times New Roman"/>
          <w:b w:val="0"/>
          <w:bCs w:val="0"/>
          <w:color w:val="auto"/>
          <w:szCs w:val="21"/>
        </w:rPr>
        <w:t>小组对申请人包括政治表现、业务能力、科研潜</w:t>
      </w:r>
      <w:r>
        <w:rPr>
          <w:rFonts w:hint="eastAsia" w:ascii="Times New Roman" w:hAnsi="Times New Roman" w:eastAsia="宋体" w:cs="Times New Roman"/>
          <w:b w:val="0"/>
          <w:bCs w:val="0"/>
          <w:color w:val="auto"/>
          <w:szCs w:val="21"/>
        </w:rPr>
        <w:t>能与</w:t>
      </w:r>
      <w:r>
        <w:rPr>
          <w:rFonts w:ascii="Times New Roman" w:hAnsi="Times New Roman" w:eastAsia="宋体" w:cs="Times New Roman"/>
          <w:b w:val="0"/>
          <w:bCs w:val="0"/>
          <w:color w:val="auto"/>
          <w:szCs w:val="21"/>
        </w:rPr>
        <w:t>综合素质、外语水平等在内的各项内容进行全面考核实名</w:t>
      </w:r>
      <w:r>
        <w:rPr>
          <w:rFonts w:hint="eastAsia" w:ascii="Times New Roman" w:hAnsi="Times New Roman" w:eastAsia="宋体" w:cs="Times New Roman"/>
          <w:b w:val="0"/>
          <w:bCs w:val="0"/>
          <w:color w:val="auto"/>
          <w:szCs w:val="21"/>
        </w:rPr>
        <w:t>打分，采用百分制，按照去掉一个最高分与一个最低分之后的平均分为该申请人的面试得分</w:t>
      </w:r>
      <w:r>
        <w:rPr>
          <w:rFonts w:ascii="Times New Roman" w:hAnsi="Times New Roman" w:eastAsia="宋体" w:cs="Times New Roman"/>
          <w:b w:val="0"/>
          <w:bCs w:val="0"/>
          <w:color w:val="auto"/>
          <w:szCs w:val="21"/>
        </w:rPr>
        <w:t>。</w:t>
      </w:r>
      <w:r>
        <w:rPr>
          <w:rFonts w:hint="eastAsia" w:ascii="Times New Roman" w:hAnsi="Times New Roman" w:eastAsia="宋体" w:cs="Times New Roman"/>
          <w:b w:val="0"/>
          <w:bCs w:val="0"/>
          <w:color w:val="auto"/>
          <w:szCs w:val="21"/>
        </w:rPr>
        <w:t>面试低于60分者不予以录取。</w:t>
      </w:r>
    </w:p>
    <w:p>
      <w:pPr>
        <w:numPr>
          <w:ilvl w:val="0"/>
          <w:numId w:val="1"/>
        </w:numPr>
        <w:tabs>
          <w:tab w:val="left" w:pos="826"/>
        </w:tabs>
        <w:snapToGrid w:val="0"/>
        <w:spacing w:line="360" w:lineRule="auto"/>
        <w:ind w:firstLine="420" w:firstLineChars="200"/>
        <w:rPr>
          <w:rFonts w:ascii="Times New Roman" w:hAnsi="Times New Roman" w:eastAsia="宋体" w:cs="Times New Roman"/>
          <w:b w:val="0"/>
          <w:bCs w:val="0"/>
          <w:color w:val="auto"/>
          <w:szCs w:val="21"/>
        </w:rPr>
      </w:pPr>
      <w:r>
        <w:rPr>
          <w:rFonts w:hint="eastAsia" w:ascii="Times New Roman" w:hAnsi="Times New Roman" w:eastAsia="宋体" w:cs="Times New Roman"/>
          <w:b w:val="0"/>
          <w:bCs w:val="0"/>
          <w:color w:val="auto"/>
          <w:szCs w:val="21"/>
        </w:rPr>
        <w:t>报考同一个一级学科的考生按</w:t>
      </w:r>
      <w:r>
        <w:rPr>
          <w:rFonts w:ascii="Times New Roman" w:hAnsi="Times New Roman" w:eastAsia="宋体" w:cs="Times New Roman"/>
          <w:b w:val="0"/>
          <w:bCs w:val="0"/>
          <w:color w:val="auto"/>
          <w:szCs w:val="21"/>
        </w:rPr>
        <w:t>成绩从高分到低分排序确定获得录取资格的申请人名单</w:t>
      </w:r>
      <w:r>
        <w:rPr>
          <w:rFonts w:hint="eastAsia" w:ascii="Times New Roman" w:hAnsi="Times New Roman" w:eastAsia="宋体" w:cs="Times New Roman"/>
          <w:b w:val="0"/>
          <w:bCs w:val="0"/>
          <w:color w:val="auto"/>
          <w:szCs w:val="21"/>
        </w:rPr>
        <w:t>，不区分报考导师。</w:t>
      </w:r>
      <w:r>
        <w:rPr>
          <w:rFonts w:ascii="Times New Roman" w:hAnsi="Times New Roman" w:eastAsiaTheme="minorEastAsia"/>
          <w:b w:val="0"/>
          <w:bCs w:val="0"/>
          <w:color w:val="auto"/>
          <w:shd w:val="clear" w:color="auto" w:fill="FFFFFF"/>
        </w:rPr>
        <w:t>由总成绩最高的考生首先进行师生互选，如果有当年符合条件的招生导师同意接收该考生，则该考生被拟录取；如果没有当年符合条件的招生导师同意接收该考生，则该考生没有被拟录取。总成绩排名第二的考生依次进行师生互选，以此类推，直到完成所有的招生名额，确定拟录取名单。</w:t>
      </w:r>
    </w:p>
    <w:p>
      <w:pPr>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5.</w:t>
      </w:r>
      <w:r>
        <w:rPr>
          <w:rFonts w:ascii="Times New Roman" w:hAnsi="Times New Roman" w:eastAsia="宋体" w:cs="Times New Roman"/>
          <w:color w:val="auto"/>
          <w:szCs w:val="21"/>
        </w:rPr>
        <w:t>确定拟录取的硕博连读和申请审核制博士生名单，公示5个工作日。</w:t>
      </w:r>
    </w:p>
    <w:p>
      <w:pPr>
        <w:snapToGrid w:val="0"/>
        <w:spacing w:beforeLines="50"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6.</w:t>
      </w:r>
      <w:r>
        <w:rPr>
          <w:rFonts w:ascii="Times New Roman" w:hAnsi="Times New Roman" w:eastAsia="宋体" w:cs="Times New Roman"/>
          <w:color w:val="auto"/>
          <w:szCs w:val="21"/>
        </w:rPr>
        <w:t>公示结束后，把拟录取的硕博连读和申请审核制博士生名单上报研究生院。</w:t>
      </w:r>
    </w:p>
    <w:p>
      <w:pPr>
        <w:snapToGrid w:val="0"/>
        <w:spacing w:beforeLines="50" w:line="360" w:lineRule="auto"/>
        <w:ind w:firstLine="422" w:firstLineChars="200"/>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第六条 其他事宜</w:t>
      </w:r>
    </w:p>
    <w:p>
      <w:pPr>
        <w:snapToGrid w:val="0"/>
        <w:spacing w:beforeLines="50" w:line="360" w:lineRule="auto"/>
        <w:ind w:firstLine="420" w:firstLineChars="200"/>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1.录取为硕博连读的博士研究生，不做硕士学位论文，不授予硕士学位。</w:t>
      </w:r>
    </w:p>
    <w:p>
      <w:pPr>
        <w:snapToGrid w:val="0"/>
        <w:spacing w:beforeLines="50" w:line="360" w:lineRule="auto"/>
        <w:ind w:firstLine="420" w:firstLineChars="200"/>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2.录取为硕博连读博士生的，原则上不再批准转回硕士培养。确因特殊原因申请转为硕士培养的，自申请批准之日起，半年后方可公开进行硕士学位论文答辩。</w:t>
      </w:r>
    </w:p>
    <w:p>
      <w:pPr>
        <w:snapToGrid w:val="0"/>
        <w:spacing w:beforeLines="50" w:line="360" w:lineRule="auto"/>
        <w:ind w:firstLine="420" w:firstLineChars="200"/>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3.硕博连读博士生学位论文未达到博士学位的要求但符合硕士学位的水平，可申请硕士学位。通过硕士论文答辩后，颁发硕士研究生毕业证书，授予硕士学位。</w:t>
      </w:r>
    </w:p>
    <w:p>
      <w:pPr>
        <w:tabs>
          <w:tab w:val="left" w:pos="960"/>
        </w:tabs>
        <w:snapToGrid w:val="0"/>
        <w:spacing w:beforeLines="50" w:line="360" w:lineRule="auto"/>
        <w:ind w:firstLine="422" w:firstLineChars="200"/>
        <w:rPr>
          <w:rFonts w:ascii="Times New Roman" w:hAnsi="Times New Roman" w:eastAsia="宋体" w:cs="Times New Roman"/>
          <w:b/>
          <w:color w:val="auto"/>
          <w:szCs w:val="21"/>
        </w:rPr>
      </w:pPr>
      <w:r>
        <w:rPr>
          <w:rFonts w:hint="eastAsia" w:ascii="Times New Roman" w:hAnsi="宋体" w:eastAsia="宋体" w:cs="Times New Roman"/>
          <w:b/>
          <w:color w:val="auto"/>
          <w:szCs w:val="21"/>
        </w:rPr>
        <w:t xml:space="preserve">第七条 </w:t>
      </w:r>
      <w:r>
        <w:rPr>
          <w:rFonts w:ascii="Times New Roman" w:hAnsi="宋体" w:eastAsia="宋体" w:cs="Times New Roman"/>
          <w:b/>
          <w:color w:val="auto"/>
          <w:szCs w:val="21"/>
        </w:rPr>
        <w:t>未尽事宜的解释</w:t>
      </w:r>
    </w:p>
    <w:p>
      <w:pPr>
        <w:snapToGrid w:val="0"/>
        <w:spacing w:line="360" w:lineRule="auto"/>
        <w:ind w:firstLine="420" w:firstLineChars="200"/>
        <w:rPr>
          <w:rFonts w:ascii="Times New Roman" w:hAnsi="Times New Roman" w:eastAsia="宋体" w:cs="Times New Roman"/>
          <w:color w:val="auto"/>
          <w:szCs w:val="21"/>
        </w:rPr>
      </w:pPr>
      <w:r>
        <w:rPr>
          <w:rFonts w:ascii="Times New Roman" w:hAnsi="宋体" w:eastAsia="宋体" w:cs="Times New Roman"/>
          <w:color w:val="auto"/>
          <w:szCs w:val="21"/>
        </w:rPr>
        <w:t>本</w:t>
      </w:r>
      <w:r>
        <w:rPr>
          <w:rFonts w:hint="eastAsia" w:ascii="Times New Roman" w:hAnsi="宋体" w:eastAsia="宋体" w:cs="Times New Roman"/>
          <w:color w:val="auto"/>
          <w:szCs w:val="21"/>
        </w:rPr>
        <w:t>办法</w:t>
      </w:r>
      <w:r>
        <w:rPr>
          <w:rFonts w:ascii="Times New Roman" w:hAnsi="宋体" w:eastAsia="宋体" w:cs="Times New Roman"/>
          <w:color w:val="auto"/>
          <w:szCs w:val="21"/>
        </w:rPr>
        <w:t>未尽事宜，由</w:t>
      </w:r>
      <w:r>
        <w:rPr>
          <w:rFonts w:hint="eastAsia" w:ascii="Times New Roman" w:hAnsi="宋体" w:eastAsia="宋体" w:cs="Times New Roman"/>
          <w:color w:val="auto"/>
          <w:szCs w:val="21"/>
        </w:rPr>
        <w:t>社会与政治学院</w:t>
      </w:r>
      <w:r>
        <w:rPr>
          <w:rFonts w:ascii="Times New Roman" w:hAnsi="宋体" w:eastAsia="宋体" w:cs="Times New Roman"/>
          <w:color w:val="auto"/>
          <w:szCs w:val="21"/>
        </w:rPr>
        <w:t>硕博连读、申请审核制博士生</w:t>
      </w:r>
      <w:r>
        <w:rPr>
          <w:rFonts w:hint="eastAsia" w:ascii="Times New Roman" w:hAnsi="宋体" w:eastAsia="宋体" w:cs="Times New Roman"/>
          <w:color w:val="auto"/>
          <w:szCs w:val="21"/>
          <w:lang w:eastAsia="zh-CN"/>
        </w:rPr>
        <w:t>选拔考核</w:t>
      </w:r>
      <w:r>
        <w:rPr>
          <w:rFonts w:hint="eastAsia" w:ascii="Times New Roman" w:hAnsi="宋体" w:eastAsia="宋体" w:cs="Times New Roman"/>
          <w:color w:val="auto"/>
          <w:szCs w:val="21"/>
        </w:rPr>
        <w:t>领导小组</w:t>
      </w:r>
      <w:r>
        <w:rPr>
          <w:rFonts w:ascii="Times New Roman" w:hAnsi="宋体" w:eastAsia="宋体" w:cs="Times New Roman"/>
          <w:color w:val="auto"/>
          <w:szCs w:val="21"/>
        </w:rPr>
        <w:t>负责解释。</w:t>
      </w:r>
    </w:p>
    <w:p>
      <w:pPr>
        <w:snapToGrid w:val="0"/>
        <w:spacing w:line="360" w:lineRule="auto"/>
        <w:ind w:right="105" w:firstLine="4410" w:firstLineChars="2100"/>
        <w:jc w:val="right"/>
        <w:rPr>
          <w:rFonts w:ascii="Times New Roman" w:hAnsi="Times New Roman" w:eastAsia="宋体" w:cs="Times New Roman"/>
          <w:color w:val="auto"/>
          <w:kern w:val="0"/>
          <w:szCs w:val="21"/>
        </w:rPr>
      </w:pPr>
      <w:r>
        <w:rPr>
          <w:rFonts w:ascii="Times New Roman" w:hAnsi="宋体" w:eastAsia="宋体" w:cs="Times New Roman"/>
          <w:color w:val="auto"/>
          <w:kern w:val="0"/>
          <w:szCs w:val="21"/>
        </w:rPr>
        <w:t>安徽大学社会与政治学院</w:t>
      </w:r>
    </w:p>
    <w:p>
      <w:pPr>
        <w:snapToGrid w:val="0"/>
        <w:spacing w:line="360" w:lineRule="auto"/>
        <w:ind w:right="420" w:firstLine="6195" w:firstLineChars="2950"/>
        <w:jc w:val="both"/>
        <w:rPr>
          <w:rFonts w:hint="eastAsia" w:ascii="黑体" w:hAnsi="黑体" w:eastAsia="黑体" w:cs="Times New Roman"/>
          <w:b/>
          <w:color w:val="auto"/>
          <w:sz w:val="28"/>
          <w:szCs w:val="28"/>
        </w:rPr>
      </w:pPr>
      <w:r>
        <w:rPr>
          <w:rFonts w:ascii="Times New Roman" w:hAnsi="Times New Roman" w:eastAsia="宋体" w:cs="Times New Roman"/>
          <w:color w:val="auto"/>
          <w:kern w:val="0"/>
          <w:szCs w:val="21"/>
        </w:rPr>
        <w:t>20</w:t>
      </w:r>
      <w:r>
        <w:rPr>
          <w:rFonts w:hint="eastAsia" w:ascii="Times New Roman" w:hAnsi="Times New Roman" w:eastAsia="宋体" w:cs="Times New Roman"/>
          <w:color w:val="auto"/>
          <w:kern w:val="0"/>
          <w:szCs w:val="21"/>
          <w:lang w:val="en-US" w:eastAsia="zh-CN"/>
        </w:rPr>
        <w:t>22</w:t>
      </w:r>
      <w:r>
        <w:rPr>
          <w:rFonts w:ascii="Times New Roman" w:hAnsi="宋体" w:eastAsia="宋体" w:cs="Times New Roman"/>
          <w:color w:val="auto"/>
          <w:kern w:val="0"/>
          <w:szCs w:val="21"/>
        </w:rPr>
        <w:t>年</w:t>
      </w:r>
      <w:r>
        <w:rPr>
          <w:rFonts w:hint="eastAsia" w:ascii="Times New Roman" w:hAnsi="Times New Roman" w:eastAsia="宋体" w:cs="Times New Roman"/>
          <w:color w:val="auto"/>
          <w:kern w:val="0"/>
          <w:szCs w:val="21"/>
        </w:rPr>
        <w:t>1</w:t>
      </w:r>
      <w:r>
        <w:rPr>
          <w:rFonts w:hint="eastAsia" w:ascii="Times New Roman" w:hAnsi="Times New Roman" w:eastAsia="宋体" w:cs="Times New Roman"/>
          <w:color w:val="auto"/>
          <w:kern w:val="0"/>
          <w:szCs w:val="21"/>
          <w:lang w:val="en-US" w:eastAsia="zh-CN"/>
        </w:rPr>
        <w:t>2</w:t>
      </w:r>
      <w:r>
        <w:rPr>
          <w:rFonts w:ascii="Times New Roman" w:hAnsi="宋体" w:eastAsia="宋体" w:cs="Times New Roman"/>
          <w:color w:val="auto"/>
          <w:kern w:val="0"/>
          <w:szCs w:val="21"/>
        </w:rPr>
        <w:t>月</w:t>
      </w:r>
      <w:r>
        <w:rPr>
          <w:rFonts w:hint="eastAsia" w:ascii="Times New Roman" w:hAnsi="宋体" w:eastAsia="宋体" w:cs="Times New Roman"/>
          <w:color w:val="auto"/>
          <w:kern w:val="0"/>
          <w:szCs w:val="21"/>
          <w:lang w:val="en-US" w:eastAsia="zh-CN"/>
        </w:rPr>
        <w:t>1</w:t>
      </w:r>
      <w:r>
        <w:rPr>
          <w:rFonts w:hint="eastAsia" w:ascii="Times New Roman" w:hAnsi="Times New Roman" w:eastAsia="宋体" w:cs="Times New Roman"/>
          <w:color w:val="auto"/>
          <w:kern w:val="0"/>
          <w:szCs w:val="21"/>
          <w:lang w:val="en-US" w:eastAsia="zh-CN"/>
        </w:rPr>
        <w:t>6</w:t>
      </w:r>
      <w:r>
        <w:rPr>
          <w:rFonts w:ascii="Times New Roman" w:hAnsi="宋体" w:eastAsia="宋体" w:cs="Times New Roman"/>
          <w:color w:val="auto"/>
          <w:kern w:val="0"/>
          <w:szCs w:val="21"/>
        </w:rPr>
        <w:t>日</w:t>
      </w:r>
    </w:p>
    <w:p>
      <w:pPr>
        <w:tabs>
          <w:tab w:val="left" w:pos="960"/>
        </w:tabs>
        <w:snapToGrid w:val="0"/>
        <w:spacing w:beforeLines="50" w:line="360" w:lineRule="auto"/>
        <w:rPr>
          <w:rFonts w:hint="eastAsia" w:ascii="黑体" w:hAnsi="黑体" w:eastAsia="黑体" w:cs="Times New Roman"/>
          <w:b/>
          <w:color w:val="auto"/>
          <w:sz w:val="28"/>
          <w:szCs w:val="28"/>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A66532"/>
    <w:multiLevelType w:val="singleLevel"/>
    <w:tmpl w:val="49A66532"/>
    <w:lvl w:ilvl="0" w:tentative="0">
      <w:start w:val="2"/>
      <w:numFmt w:val="decimal"/>
      <w:suff w:val="nothing"/>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727"/>
    <w:rsid w:val="000009B3"/>
    <w:rsid w:val="00015EC5"/>
    <w:rsid w:val="00044E3B"/>
    <w:rsid w:val="00050779"/>
    <w:rsid w:val="00064110"/>
    <w:rsid w:val="00077139"/>
    <w:rsid w:val="00081A61"/>
    <w:rsid w:val="000B7CD4"/>
    <w:rsid w:val="000C3C2C"/>
    <w:rsid w:val="000F6260"/>
    <w:rsid w:val="0012219E"/>
    <w:rsid w:val="001B4930"/>
    <w:rsid w:val="001C0D2E"/>
    <w:rsid w:val="002145F8"/>
    <w:rsid w:val="002C0567"/>
    <w:rsid w:val="002D2E8A"/>
    <w:rsid w:val="002F2BFC"/>
    <w:rsid w:val="00336133"/>
    <w:rsid w:val="00427AAF"/>
    <w:rsid w:val="0046767C"/>
    <w:rsid w:val="004C2CEF"/>
    <w:rsid w:val="005549F5"/>
    <w:rsid w:val="005A0027"/>
    <w:rsid w:val="005F4953"/>
    <w:rsid w:val="006503AE"/>
    <w:rsid w:val="00657E8B"/>
    <w:rsid w:val="00672E1F"/>
    <w:rsid w:val="00691D0A"/>
    <w:rsid w:val="006B7863"/>
    <w:rsid w:val="006C7544"/>
    <w:rsid w:val="007932F4"/>
    <w:rsid w:val="007B1EE0"/>
    <w:rsid w:val="00844F3A"/>
    <w:rsid w:val="008D273C"/>
    <w:rsid w:val="008F0420"/>
    <w:rsid w:val="00901757"/>
    <w:rsid w:val="0099595E"/>
    <w:rsid w:val="009E452C"/>
    <w:rsid w:val="00A811BB"/>
    <w:rsid w:val="00AF7DD7"/>
    <w:rsid w:val="00B16623"/>
    <w:rsid w:val="00B80BBE"/>
    <w:rsid w:val="00B97798"/>
    <w:rsid w:val="00BD70A7"/>
    <w:rsid w:val="00BE2045"/>
    <w:rsid w:val="00CF2CB6"/>
    <w:rsid w:val="00D14831"/>
    <w:rsid w:val="00DC1F56"/>
    <w:rsid w:val="00E311E7"/>
    <w:rsid w:val="00EC1425"/>
    <w:rsid w:val="00ED1881"/>
    <w:rsid w:val="00F12BD6"/>
    <w:rsid w:val="00F17AC7"/>
    <w:rsid w:val="00F22245"/>
    <w:rsid w:val="00FB6A8E"/>
    <w:rsid w:val="00FF2727"/>
    <w:rsid w:val="08F67114"/>
    <w:rsid w:val="0E541224"/>
    <w:rsid w:val="13A97696"/>
    <w:rsid w:val="1494223C"/>
    <w:rsid w:val="171C5316"/>
    <w:rsid w:val="17D163AF"/>
    <w:rsid w:val="1945415A"/>
    <w:rsid w:val="1A480367"/>
    <w:rsid w:val="1C3E70A5"/>
    <w:rsid w:val="1ED272C8"/>
    <w:rsid w:val="21326D94"/>
    <w:rsid w:val="2C0B6AFC"/>
    <w:rsid w:val="3A6D537A"/>
    <w:rsid w:val="41C537DA"/>
    <w:rsid w:val="424D0C18"/>
    <w:rsid w:val="427F40BB"/>
    <w:rsid w:val="44DD11E7"/>
    <w:rsid w:val="4D3C2671"/>
    <w:rsid w:val="4E494F92"/>
    <w:rsid w:val="51144DCE"/>
    <w:rsid w:val="5131733E"/>
    <w:rsid w:val="5508562D"/>
    <w:rsid w:val="57844BCE"/>
    <w:rsid w:val="59F07019"/>
    <w:rsid w:val="5E3A355D"/>
    <w:rsid w:val="5F323A48"/>
    <w:rsid w:val="69DF734D"/>
    <w:rsid w:val="6A236F84"/>
    <w:rsid w:val="7B227444"/>
    <w:rsid w:val="7E571F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7">
    <w:name w:val="page number"/>
    <w:basedOn w:val="6"/>
    <w:qFormat/>
    <w:uiPriority w:val="0"/>
  </w:style>
  <w:style w:type="character" w:customStyle="1" w:styleId="8">
    <w:name w:val="页脚 Char"/>
    <w:basedOn w:val="6"/>
    <w:link w:val="2"/>
    <w:qFormat/>
    <w:uiPriority w:val="0"/>
    <w:rPr>
      <w:rFonts w:ascii="Times New Roman" w:hAnsi="Times New Roman" w:eastAsia="宋体" w:cs="Times New Roman"/>
      <w:sz w:val="18"/>
      <w:szCs w:val="18"/>
    </w:rPr>
  </w:style>
  <w:style w:type="paragraph" w:customStyle="1" w:styleId="9">
    <w:name w:val="页眉1"/>
    <w:basedOn w:val="1"/>
    <w:next w:val="3"/>
    <w:link w:val="10"/>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customStyle="1" w:styleId="10">
    <w:name w:val="页眉 Char1"/>
    <w:basedOn w:val="6"/>
    <w:link w:val="9"/>
    <w:semiHidden/>
    <w:qFormat/>
    <w:uiPriority w:val="99"/>
    <w:rPr>
      <w:rFonts w:ascii="Times New Roman" w:hAnsi="Times New Roman" w:eastAsia="宋体" w:cs="Times New Roman"/>
      <w:sz w:val="18"/>
      <w:szCs w:val="18"/>
    </w:rPr>
  </w:style>
  <w:style w:type="character" w:customStyle="1" w:styleId="11">
    <w:name w:val="页眉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3</Pages>
  <Words>417</Words>
  <Characters>2380</Characters>
  <Lines>19</Lines>
  <Paragraphs>5</Paragraphs>
  <TotalTime>1</TotalTime>
  <ScaleCrop>false</ScaleCrop>
  <LinksUpToDate>false</LinksUpToDate>
  <CharactersWithSpaces>2792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2019-10-04T03:15:00Z</dcterms:created>
  <dc:creator>xb21cn</dc:creator>
  <cp:lastModifiedBy>Administrator</cp:lastModifiedBy>
  <cp:lastPrinted>2021-12-06T00:48:00Z</cp:lastPrinted>
  <dcterms:modified xsi:type="dcterms:W3CDTF">2021-12-20T08:32:13Z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CB6E4EB1B0114FA8A797DCA7AA76D8D0</vt:lpwstr>
  </property>
</Properties>
</file>