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98" w:rsidRDefault="001246F9" w:rsidP="006C50F3">
      <w:pPr>
        <w:ind w:firstLineChars="98" w:firstLine="31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河南中医药大学博士研究生“申请-考核”制实施办法</w:t>
      </w:r>
    </w:p>
    <w:p w:rsidR="00F56F98" w:rsidRDefault="001246F9">
      <w:pPr>
        <w:ind w:firstLineChars="98" w:firstLine="315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（试行）</w:t>
      </w:r>
    </w:p>
    <w:p w:rsidR="00F56F98" w:rsidRDefault="001246F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第一章  总  则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第一条</w:t>
      </w:r>
      <w:r>
        <w:rPr>
          <w:rFonts w:ascii="仿宋_GB2312" w:eastAsia="仿宋_GB2312" w:hint="eastAsia"/>
          <w:sz w:val="28"/>
          <w:szCs w:val="28"/>
        </w:rPr>
        <w:t xml:space="preserve">  为激发博士研究生教育活力，规范博士研究生“申请-考核”制招生选拔程序，培养选拔高质量人才，根据《国务院关于深化考试招生制度改革的实施意见》（国发〔2014〕35号）精神，制定本办法。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第二条 </w:t>
      </w:r>
      <w:r>
        <w:rPr>
          <w:rFonts w:ascii="仿宋_GB2312" w:eastAsia="仿宋_GB2312" w:hint="eastAsia"/>
          <w:sz w:val="28"/>
          <w:szCs w:val="28"/>
        </w:rPr>
        <w:t>“申请-考核”制考生，应当符合我校当年博士生招生简章中规定的全日制在校生报考条件，报考类别为非定向就业，被录取后须全脱产学习。</w:t>
      </w:r>
    </w:p>
    <w:p w:rsidR="00F56F98" w:rsidRDefault="001246F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第二章 组织管理及职责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第三条</w:t>
      </w:r>
      <w:r>
        <w:rPr>
          <w:rFonts w:ascii="仿宋_GB2312" w:eastAsia="仿宋_GB2312" w:hint="eastAsia"/>
          <w:sz w:val="28"/>
          <w:szCs w:val="28"/>
        </w:rPr>
        <w:t xml:space="preserve"> “申请-考核”制博士研究生招生，采取学校和招生院部分级管理、以招生院部为主体的方式。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第四条</w:t>
      </w:r>
      <w:r>
        <w:rPr>
          <w:rFonts w:ascii="仿宋_GB2312" w:eastAsia="仿宋_GB2312" w:hint="eastAsia"/>
          <w:sz w:val="28"/>
          <w:szCs w:val="28"/>
        </w:rPr>
        <w:t xml:space="preserve">  研究生院负责制定“申请-考核”制总体方案和招生计划，落实学校相关政策和措施，监督各招生院部选拔流程，审核招生院部拟录取结果。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第五条</w:t>
      </w:r>
      <w:r>
        <w:rPr>
          <w:rFonts w:ascii="仿宋_GB2312" w:eastAsia="仿宋_GB2312" w:hint="eastAsia"/>
          <w:sz w:val="28"/>
          <w:szCs w:val="28"/>
        </w:rPr>
        <w:t xml:space="preserve">  博士</w:t>
      </w:r>
      <w:r>
        <w:rPr>
          <w:rFonts w:ascii="仿宋_GB2312" w:eastAsia="仿宋_GB2312"/>
          <w:sz w:val="28"/>
          <w:szCs w:val="28"/>
        </w:rPr>
        <w:t>招生院部</w:t>
      </w:r>
      <w:r>
        <w:rPr>
          <w:rFonts w:ascii="仿宋_GB2312" w:eastAsia="仿宋_GB2312" w:hint="eastAsia"/>
          <w:sz w:val="28"/>
          <w:szCs w:val="28"/>
        </w:rPr>
        <w:t>分别成立招生工作领导小组，负责制定学科“申请-考核”制选拔方案和实施细则，落实学科“申请-考核”制招生的相关工作，招生院部组建学科考核专家组，对申请者进行考核录取，对受质疑申请者进行复核。其中，实施细则应当明确选拔条件、考核内容、考核程序及方式（笔试、面试）、录取办法等内容。</w:t>
      </w:r>
    </w:p>
    <w:p w:rsidR="00F56F98" w:rsidRDefault="001246F9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第六条</w:t>
      </w:r>
      <w:r>
        <w:rPr>
          <w:rFonts w:ascii="仿宋_GB2312" w:eastAsia="仿宋_GB2312" w:hint="eastAsia"/>
          <w:sz w:val="28"/>
          <w:szCs w:val="28"/>
        </w:rPr>
        <w:t xml:space="preserve">  学科考核专家组一般由本学科带头人任组长，成员不得</w:t>
      </w:r>
      <w:r>
        <w:rPr>
          <w:rFonts w:ascii="仿宋_GB2312" w:eastAsia="仿宋_GB2312" w:hint="eastAsia"/>
          <w:sz w:val="28"/>
          <w:szCs w:val="28"/>
        </w:rPr>
        <w:lastRenderedPageBreak/>
        <w:t>少于5位博士生导师（如本专业博导人数不足5人，应由本学科教授或相近学科补足）。具体职责是依据学校文件和招生实施方案审核申请者的申请资格，并对其进行综合考核及面试，确定拟录取的申请者名单。</w:t>
      </w:r>
    </w:p>
    <w:p w:rsidR="00F56F98" w:rsidRDefault="001246F9">
      <w:pPr>
        <w:spacing w:line="6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第三章 申报条件</w:t>
      </w:r>
    </w:p>
    <w:p w:rsidR="00F56F98" w:rsidRDefault="001246F9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第七条</w:t>
      </w:r>
      <w:r>
        <w:rPr>
          <w:rFonts w:ascii="仿宋_GB2312" w:eastAsia="仿宋_GB2312" w:hint="eastAsia"/>
          <w:sz w:val="28"/>
          <w:szCs w:val="28"/>
        </w:rPr>
        <w:t xml:space="preserve">  “申请-考核”制考生应当符合下列基本条件：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（一）全日制</w:t>
      </w:r>
      <w:r>
        <w:rPr>
          <w:rFonts w:ascii="仿宋_GB2312" w:eastAsia="仿宋_GB2312"/>
          <w:sz w:val="28"/>
          <w:szCs w:val="28"/>
        </w:rPr>
        <w:t>应届硕士毕业生</w:t>
      </w:r>
      <w:r>
        <w:rPr>
          <w:rFonts w:ascii="仿宋_GB2312" w:eastAsia="仿宋_GB2312" w:hint="eastAsia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毕业5年内往届全日制硕士毕业生（不含同等学力），已获得硕士学位的人员；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（二）专业基础好，攻读硕士学位期间的学位课合格且全部课程平均成绩不低于75分；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（三）科研能力要求满足下列</w:t>
      </w:r>
      <w:r>
        <w:rPr>
          <w:rFonts w:ascii="仿宋_GB2312" w:eastAsia="仿宋_GB2312"/>
          <w:sz w:val="28"/>
          <w:szCs w:val="28"/>
        </w:rPr>
        <w:t>条件之一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1、1005中医学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1057</w:t>
      </w:r>
      <w:r>
        <w:rPr>
          <w:rFonts w:ascii="仿宋_GB2312" w:eastAsia="仿宋_GB2312"/>
          <w:sz w:val="28"/>
          <w:szCs w:val="28"/>
        </w:rPr>
        <w:t>中医（</w:t>
      </w:r>
      <w:r>
        <w:rPr>
          <w:rFonts w:ascii="仿宋_GB2312" w:eastAsia="仿宋_GB2312" w:hint="eastAsia"/>
          <w:sz w:val="28"/>
          <w:szCs w:val="28"/>
        </w:rPr>
        <w:t>专业学位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近</w:t>
      </w:r>
      <w:r>
        <w:rPr>
          <w:rFonts w:ascii="仿宋_GB2312" w:eastAsia="仿宋_GB2312" w:hint="eastAsia"/>
          <w:sz w:val="28"/>
          <w:szCs w:val="28"/>
        </w:rPr>
        <w:t>三年公开发表1篇有影响的SCI收录论文，或3篇中文核心期刊论文；1008</w:t>
      </w:r>
      <w:r>
        <w:rPr>
          <w:rFonts w:ascii="仿宋_GB2312" w:eastAsia="仿宋_GB2312" w:hint="eastAsia"/>
          <w:bCs/>
          <w:sz w:val="28"/>
          <w:szCs w:val="28"/>
        </w:rPr>
        <w:t>中药学：近三年公开发表2篇SCI收录论文，或1篇3分以上（或二区及以上）的SCI收录论文，或1篇 SCI收录论文加3篇中文核心期刊论文。论文要求</w:t>
      </w:r>
      <w:r>
        <w:rPr>
          <w:rFonts w:ascii="仿宋_GB2312" w:eastAsia="仿宋_GB2312"/>
          <w:bCs/>
          <w:sz w:val="28"/>
          <w:szCs w:val="28"/>
        </w:rPr>
        <w:t>申请人</w:t>
      </w:r>
      <w:r>
        <w:rPr>
          <w:rFonts w:ascii="仿宋_GB2312" w:eastAsia="仿宋_GB2312" w:hint="eastAsia"/>
          <w:bCs/>
          <w:sz w:val="28"/>
          <w:szCs w:val="28"/>
        </w:rPr>
        <w:t>为第一作者。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近</w:t>
      </w:r>
      <w:r>
        <w:rPr>
          <w:rFonts w:ascii="仿宋_GB2312" w:eastAsia="仿宋_GB2312" w:hint="eastAsia"/>
          <w:sz w:val="28"/>
          <w:szCs w:val="28"/>
        </w:rPr>
        <w:t>三年作为第一名</w:t>
      </w:r>
      <w:r>
        <w:rPr>
          <w:rFonts w:ascii="仿宋_GB2312" w:eastAsia="仿宋_GB2312"/>
          <w:sz w:val="28"/>
          <w:szCs w:val="28"/>
        </w:rPr>
        <w:t>获批国家自然科学基金等国家级项目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开展“申请-考核”制的专业、方向，可在此基础上根据专业、方向特点，再提高科研能力的条件。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（四）1057</w:t>
      </w:r>
      <w:r>
        <w:rPr>
          <w:rFonts w:ascii="仿宋_GB2312" w:eastAsia="仿宋_GB2312"/>
          <w:sz w:val="28"/>
          <w:szCs w:val="28"/>
        </w:rPr>
        <w:t>中医（</w:t>
      </w:r>
      <w:r>
        <w:rPr>
          <w:rFonts w:ascii="仿宋_GB2312" w:eastAsia="仿宋_GB2312" w:hint="eastAsia"/>
          <w:sz w:val="28"/>
          <w:szCs w:val="28"/>
        </w:rPr>
        <w:t>专业学位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报考要求</w:t>
      </w:r>
    </w:p>
    <w:p w:rsidR="00F56F98" w:rsidRDefault="001246F9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报考中医专业学位博士研究生的考生，须已获得中医类或临床医</w:t>
      </w:r>
      <w:r>
        <w:rPr>
          <w:rFonts w:ascii="仿宋_GB2312" w:eastAsia="仿宋_GB2312" w:hint="eastAsia"/>
          <w:sz w:val="28"/>
          <w:szCs w:val="28"/>
        </w:rPr>
        <w:lastRenderedPageBreak/>
        <w:t>学类执业医师资格证书。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（五）对学术研究有浓厚的兴趣，有较强的创新意识、创新能力和专业能力。</w:t>
      </w:r>
    </w:p>
    <w:p w:rsidR="00F56F98" w:rsidRDefault="001246F9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第八条</w:t>
      </w:r>
      <w:r>
        <w:rPr>
          <w:rFonts w:ascii="仿宋_GB2312" w:eastAsia="仿宋_GB2312" w:hint="eastAsia"/>
          <w:sz w:val="28"/>
          <w:szCs w:val="28"/>
        </w:rPr>
        <w:t xml:space="preserve">  “申请-考核”制考生的英语水平应当达到下列条件之一：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（一）国家大学英语六级考试（CET-6）合格（或六级考试成绩425分及以上）；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（二）全国公共英语等级考试第五级（PETS5）成绩60分及以上；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（三）雅思（IELTS）考试成绩5.5分及以上；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（四）美国研究生入学考试（GRE）成绩1300分（新题型310分）及以上；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（五）托福（TOFEL）成绩530分（新题型80分）及以上；</w:t>
      </w:r>
    </w:p>
    <w:p w:rsidR="00F56F98" w:rsidRDefault="001246F9">
      <w:pPr>
        <w:spacing w:line="6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第四章 选拔流程</w:t>
      </w:r>
    </w:p>
    <w:p w:rsidR="00F56F98" w:rsidRDefault="001246F9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第九条</w:t>
      </w:r>
      <w:r>
        <w:rPr>
          <w:rFonts w:ascii="仿宋_GB2312" w:eastAsia="仿宋_GB2312" w:hint="eastAsia"/>
          <w:sz w:val="28"/>
          <w:szCs w:val="28"/>
        </w:rPr>
        <w:t xml:space="preserve">  申请者登录河南中医药大学博士生网上报名系统（http://222.187.120.13:9000）进行网上报名，并按当年博士生网上报名须知要求如实填写和提交报名信息。报名前应仔细阅读河南中医药大学当年博士招生简章。</w:t>
      </w:r>
    </w:p>
    <w:p w:rsidR="00F56F98" w:rsidRDefault="001246F9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第十条</w:t>
      </w:r>
      <w:r>
        <w:rPr>
          <w:rFonts w:ascii="仿宋_GB2312" w:eastAsia="仿宋_GB2312" w:hint="eastAsia"/>
          <w:sz w:val="28"/>
          <w:szCs w:val="28"/>
        </w:rPr>
        <w:t xml:space="preserve">  凡申请参加河南中医药大学“申请-考核”制的考生，在网上报名成功后，须在规定时间内提交下列材料：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（一）河南中医药大学招收博士生情况登记表；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（二）专家推荐书；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（三）硕士阶段课程成绩单；</w:t>
      </w:r>
    </w:p>
    <w:p w:rsidR="00F56F98" w:rsidRDefault="001246F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四）证书：往届毕业生交硕士学位证书、毕业证书复印件及在线学历验证报告，身份证复印件；应届生交学生证、身份证复印件，在线学籍验证报告，并须在录取前补交硕士学位证、毕业证复印件（不能按期提交者，取消其当年录取资格）； 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（五）政审表（在博士报名系统下载打印）；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（六）外语水平成绩证明复印件一份；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（七）硕士学位论文及硕士学位论文特色自我评述（应届硕士毕业生可提供硕士学位论文开题报告、摘要和研究内容目录等）；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（八）科研成果和能力证明材料，如公开发表的学术论文或论文正式录用函、专利、获奖证书复印件等；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九）考生须根据拟报考导师的研究方向，提交一份进入博士阶段课题研究计划书（格式自定），计划书内容包括研究目的、研究背景、研究内容、研究方案、创新点等，要求字数不少于3000字，列出必要的参考文献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（十）各院部“申请-考核”制实施方案或细则中要求的其他申请材料。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第十一条</w:t>
      </w:r>
      <w:r>
        <w:rPr>
          <w:rFonts w:ascii="仿宋_GB2312" w:eastAsia="仿宋_GB2312" w:hint="eastAsia"/>
          <w:sz w:val="28"/>
          <w:szCs w:val="28"/>
        </w:rPr>
        <w:t xml:space="preserve">  学校研究生院负责对申请者材料进行初步审查，不符合基本申请条件的，终止申请程序。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招生院部对初审合格申请者材料进行复审。材料复审给予百分制成绩，择优确定取得面试资格的申请者名单，并在院部网站上公示申请人的科研成果。公示无异议后提交学校研究生院。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第十二条</w:t>
      </w:r>
      <w:r>
        <w:rPr>
          <w:rFonts w:ascii="仿宋_GB2312" w:eastAsia="仿宋_GB2312" w:hint="eastAsia"/>
          <w:sz w:val="28"/>
          <w:szCs w:val="28"/>
        </w:rPr>
        <w:t xml:space="preserve">  考核按下列程序进行：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（一）考核对象：取得面试资格的申请者。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（二）考核方式：具体考核的内容和形式由招生院部自主确定。对每个申请者的考核总时间不得少于1小时。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考核要求：考核小组根据本学科特点和培养要求，重点考核考生思想政治素质与道德品德、综合运用所学知识分析问题和解决问题的能力，对本学科前沿知识及最新研究动态掌握情况，和是否具备博士生培养的潜能和综合素质。考核内容涉及外语应用能力、基础素质（中医专业学位博士考查临床基础素质）、科研创新能力等三个模块，每个单项满分成绩为100分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（四）考核总成绩：考核总成绩=外语应用能力考查×权重+基础素质考查×权重+科研创新能力考查×权重。权重由一级学科在“申请-考核”制工作实施方案或者细则中予以明确。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第十三条</w:t>
      </w:r>
      <w:r>
        <w:rPr>
          <w:rFonts w:ascii="仿宋_GB2312" w:eastAsia="仿宋_GB2312" w:hint="eastAsia"/>
          <w:sz w:val="28"/>
          <w:szCs w:val="28"/>
        </w:rPr>
        <w:t xml:space="preserve">  拟录取工作按下列程序进行：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（一）拟录取考生各单项考核成绩均不得低于60分。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（二）同一学科内，根据导师招生名额和申请者的考核总成绩排名依次录取。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院部确定拟录取名单，并在网站公示考核成绩和拟录取情况。考生对公示情况有异议可向院部或研究生院提出申诉。院部公示结束后，拟录取人员名单经院部主管领导审核签字、加盖单位印章并附相关申请审核材料报研究生院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（四）研究生院汇总各院部拟录取名单，报学校研究生招生工作</w:t>
      </w:r>
      <w:r>
        <w:rPr>
          <w:rFonts w:ascii="仿宋_GB2312" w:eastAsia="仿宋_GB2312" w:hint="eastAsia"/>
          <w:sz w:val="28"/>
          <w:szCs w:val="28"/>
        </w:rPr>
        <w:lastRenderedPageBreak/>
        <w:t>领导小组复核审批后，公示10个工作日。公示无异议的，报上级主管部门审批。</w:t>
      </w:r>
    </w:p>
    <w:p w:rsidR="00F56F98" w:rsidRDefault="001246F9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（五）“申请-考核”制研究生占用导师当年的博士招生计划，</w:t>
      </w:r>
      <w:r w:rsidRPr="00D367CC">
        <w:rPr>
          <w:rFonts w:ascii="仿宋_GB2312" w:eastAsia="仿宋_GB2312" w:hint="eastAsia"/>
          <w:sz w:val="28"/>
          <w:szCs w:val="28"/>
        </w:rPr>
        <w:t>“申请-考核”制</w:t>
      </w:r>
      <w:r w:rsidR="006C50F3">
        <w:rPr>
          <w:rFonts w:ascii="仿宋_GB2312" w:eastAsia="仿宋_GB2312" w:hint="eastAsia"/>
          <w:sz w:val="28"/>
          <w:szCs w:val="28"/>
        </w:rPr>
        <w:t>阶段</w:t>
      </w:r>
      <w:r w:rsidRPr="00D367CC">
        <w:rPr>
          <w:rFonts w:ascii="仿宋_GB2312" w:eastAsia="仿宋_GB2312" w:hint="eastAsia"/>
          <w:sz w:val="28"/>
          <w:szCs w:val="28"/>
        </w:rPr>
        <w:t>未</w:t>
      </w:r>
      <w:r w:rsidRPr="00D367CC">
        <w:rPr>
          <w:rFonts w:ascii="仿宋_GB2312" w:eastAsia="仿宋_GB2312"/>
          <w:sz w:val="28"/>
          <w:szCs w:val="28"/>
        </w:rPr>
        <w:t>招到</w:t>
      </w:r>
      <w:r w:rsidRPr="00D367CC">
        <w:rPr>
          <w:rFonts w:ascii="仿宋_GB2312" w:eastAsia="仿宋_GB2312" w:hint="eastAsia"/>
          <w:sz w:val="28"/>
          <w:szCs w:val="28"/>
        </w:rPr>
        <w:t>学生的招生导师</w:t>
      </w:r>
      <w:r w:rsidRPr="00D367CC">
        <w:rPr>
          <w:rFonts w:ascii="仿宋_GB2312" w:eastAsia="仿宋_GB2312"/>
          <w:sz w:val="28"/>
          <w:szCs w:val="28"/>
        </w:rPr>
        <w:t>自动转为</w:t>
      </w:r>
      <w:r w:rsidRPr="00D367CC">
        <w:rPr>
          <w:rFonts w:ascii="仿宋_GB2312" w:eastAsia="仿宋_GB2312" w:hint="eastAsia"/>
          <w:sz w:val="28"/>
          <w:szCs w:val="28"/>
        </w:rPr>
        <w:t>“普通</w:t>
      </w:r>
      <w:r w:rsidRPr="00D367CC">
        <w:rPr>
          <w:rFonts w:ascii="仿宋_GB2312" w:eastAsia="仿宋_GB2312"/>
          <w:sz w:val="28"/>
          <w:szCs w:val="28"/>
        </w:rPr>
        <w:t>招考</w:t>
      </w:r>
      <w:r w:rsidRPr="00D367CC">
        <w:rPr>
          <w:rFonts w:ascii="仿宋_GB2312" w:eastAsia="仿宋_GB2312" w:hint="eastAsia"/>
          <w:sz w:val="28"/>
          <w:szCs w:val="28"/>
        </w:rPr>
        <w:t>”阶段招生</w:t>
      </w:r>
      <w:r w:rsidRPr="00D367CC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未被录取的“申请-考核”制考生仍可报考当年的普通招考。</w:t>
      </w:r>
    </w:p>
    <w:p w:rsidR="00F56F98" w:rsidRDefault="001246F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第五章 保障机制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第十四条</w:t>
      </w:r>
      <w:r>
        <w:rPr>
          <w:rFonts w:ascii="仿宋_GB2312" w:eastAsia="仿宋_GB2312" w:hint="eastAsia"/>
          <w:sz w:val="28"/>
          <w:szCs w:val="28"/>
        </w:rPr>
        <w:t xml:space="preserve">  实施博士研究生“申请-考核”制应当严格执行学校相关管理规定，认真履行职责，详细记录考核过程，主动接受考生和社会的监督，做到政策透明、程序公正、结果公开、监督机制健全，确保“申请-考核”制工作的严肃性和公平性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第十五条</w:t>
      </w:r>
      <w:r>
        <w:rPr>
          <w:rFonts w:ascii="仿宋_GB2312" w:eastAsia="仿宋_GB2312" w:hint="eastAsia"/>
          <w:sz w:val="28"/>
          <w:szCs w:val="28"/>
        </w:rPr>
        <w:t xml:space="preserve">  在考核、录取过程中存在徇私舞弊、滥用职权的招生违规行为，经查属实的，按国家和学校有关规定处理。属于考生问题的（如报考时提供虚假材料、考核过程中弄虚作假等），对未入学者取消其录取资格，对已入学者取消其学籍，且5年内不再接受其报考。属于工作人员或导师问题的，按照教育部及学校相关管理规定给予相应的纪律处分，并取消导师招生资格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第十六条</w:t>
      </w:r>
      <w:r>
        <w:rPr>
          <w:rFonts w:ascii="仿宋_GB2312" w:eastAsia="仿宋_GB2312" w:hint="eastAsia"/>
          <w:sz w:val="28"/>
          <w:szCs w:val="28"/>
        </w:rPr>
        <w:t xml:space="preserve">  学校研究生院和纪委、监察处组成巡视组，对招生过程进行监察督导，向社会公布监督电话。研究生院同时设立招生违规举报电话及邮箱。</w:t>
      </w:r>
    </w:p>
    <w:p w:rsidR="00F56F98" w:rsidRDefault="001246F9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第六章  附  则</w:t>
      </w:r>
    </w:p>
    <w:p w:rsidR="00F56F98" w:rsidRDefault="001246F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第十七条</w:t>
      </w:r>
      <w:r>
        <w:rPr>
          <w:rFonts w:ascii="仿宋_GB2312" w:eastAsia="仿宋_GB2312" w:hint="eastAsia"/>
          <w:sz w:val="28"/>
          <w:szCs w:val="28"/>
        </w:rPr>
        <w:t xml:space="preserve">  报名参加“申请-考核”制的考生如未通过初审或综合审核，可转“普通招考”方式报考。</w:t>
      </w:r>
    </w:p>
    <w:p w:rsidR="00F56F98" w:rsidRDefault="001246F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第十八条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本办法由学校研究生院负责解释。</w:t>
      </w:r>
    </w:p>
    <w:p w:rsidR="00F56F98" w:rsidRDefault="001246F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第十九条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本办法自印发之日起施行，如遇国家招生政策调整的，以教育部当年招收攻读博士学位研究生工作管理办法相关规定为准。</w:t>
      </w:r>
    </w:p>
    <w:p w:rsidR="00F56F98" w:rsidRDefault="00F56F9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56F98" w:rsidRDefault="00F56F98" w:rsidP="00D367CC">
      <w:pPr>
        <w:widowControl/>
        <w:spacing w:line="870" w:lineRule="atLeast"/>
        <w:jc w:val="center"/>
        <w:rPr>
          <w:rStyle w:val="aa"/>
          <w:rFonts w:ascii="黑体" w:eastAsia="黑体" w:hAnsi="宋体" w:cs="黑体"/>
          <w:b/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56F98" w:rsidSect="00D3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DC" w:rsidRDefault="009513DC" w:rsidP="006C50F3">
      <w:r>
        <w:separator/>
      </w:r>
    </w:p>
  </w:endnote>
  <w:endnote w:type="continuationSeparator" w:id="0">
    <w:p w:rsidR="009513DC" w:rsidRDefault="009513DC" w:rsidP="006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DC" w:rsidRDefault="009513DC" w:rsidP="006C50F3">
      <w:r>
        <w:separator/>
      </w:r>
    </w:p>
  </w:footnote>
  <w:footnote w:type="continuationSeparator" w:id="0">
    <w:p w:rsidR="009513DC" w:rsidRDefault="009513DC" w:rsidP="006C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8B1"/>
    <w:multiLevelType w:val="multilevel"/>
    <w:tmpl w:val="068A08B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D372F5"/>
    <w:multiLevelType w:val="multilevel"/>
    <w:tmpl w:val="06D372F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161C8"/>
    <w:multiLevelType w:val="multilevel"/>
    <w:tmpl w:val="353161C8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0B2217"/>
    <w:multiLevelType w:val="multilevel"/>
    <w:tmpl w:val="440B2217"/>
    <w:lvl w:ilvl="0">
      <w:start w:val="1"/>
      <w:numFmt w:val="decimalEnclosedCircle"/>
      <w:lvlText w:val="%1"/>
      <w:lvlJc w:val="left"/>
      <w:pPr>
        <w:ind w:left="780" w:hanging="360"/>
      </w:pPr>
      <w:rPr>
        <w:rFonts w:ascii="方正仿宋简体" w:eastAsia="方正仿宋简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1E5AF1"/>
    <w:multiLevelType w:val="multilevel"/>
    <w:tmpl w:val="451E5AF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1"/>
    <w:rsid w:val="001246F9"/>
    <w:rsid w:val="001877D7"/>
    <w:rsid w:val="002103D1"/>
    <w:rsid w:val="00211B84"/>
    <w:rsid w:val="00235394"/>
    <w:rsid w:val="002C1BC3"/>
    <w:rsid w:val="002C6BA2"/>
    <w:rsid w:val="002D23A7"/>
    <w:rsid w:val="003306FB"/>
    <w:rsid w:val="00387F33"/>
    <w:rsid w:val="003A0E84"/>
    <w:rsid w:val="003A1722"/>
    <w:rsid w:val="003D1341"/>
    <w:rsid w:val="003E23E5"/>
    <w:rsid w:val="003E2706"/>
    <w:rsid w:val="0040542C"/>
    <w:rsid w:val="00456533"/>
    <w:rsid w:val="00462E7C"/>
    <w:rsid w:val="0050520E"/>
    <w:rsid w:val="00531C29"/>
    <w:rsid w:val="00551518"/>
    <w:rsid w:val="00552CB7"/>
    <w:rsid w:val="00560EE7"/>
    <w:rsid w:val="005713E6"/>
    <w:rsid w:val="005B0DE9"/>
    <w:rsid w:val="005B2501"/>
    <w:rsid w:val="005D3DAF"/>
    <w:rsid w:val="005D5071"/>
    <w:rsid w:val="00614430"/>
    <w:rsid w:val="00626C4C"/>
    <w:rsid w:val="00654CF9"/>
    <w:rsid w:val="00681AF0"/>
    <w:rsid w:val="006C50F3"/>
    <w:rsid w:val="006F76F9"/>
    <w:rsid w:val="00710CCF"/>
    <w:rsid w:val="007904F8"/>
    <w:rsid w:val="007955DC"/>
    <w:rsid w:val="007C1523"/>
    <w:rsid w:val="00816BB3"/>
    <w:rsid w:val="00817E6B"/>
    <w:rsid w:val="008307CC"/>
    <w:rsid w:val="00864AD2"/>
    <w:rsid w:val="008A1D1E"/>
    <w:rsid w:val="008C6486"/>
    <w:rsid w:val="008E75DD"/>
    <w:rsid w:val="00912259"/>
    <w:rsid w:val="009426F1"/>
    <w:rsid w:val="009513DC"/>
    <w:rsid w:val="00995499"/>
    <w:rsid w:val="009E48DD"/>
    <w:rsid w:val="009F34E2"/>
    <w:rsid w:val="009F42B2"/>
    <w:rsid w:val="00A20380"/>
    <w:rsid w:val="00A63025"/>
    <w:rsid w:val="00B028E8"/>
    <w:rsid w:val="00B10B5C"/>
    <w:rsid w:val="00B118D9"/>
    <w:rsid w:val="00B27C1E"/>
    <w:rsid w:val="00B51A5A"/>
    <w:rsid w:val="00B5374D"/>
    <w:rsid w:val="00B53F39"/>
    <w:rsid w:val="00B83924"/>
    <w:rsid w:val="00C0674D"/>
    <w:rsid w:val="00C7773B"/>
    <w:rsid w:val="00C77C61"/>
    <w:rsid w:val="00CA0FB7"/>
    <w:rsid w:val="00CF0C59"/>
    <w:rsid w:val="00D32740"/>
    <w:rsid w:val="00D367CC"/>
    <w:rsid w:val="00D544A0"/>
    <w:rsid w:val="00DA32F1"/>
    <w:rsid w:val="00DA3590"/>
    <w:rsid w:val="00DB04CA"/>
    <w:rsid w:val="00E03BD0"/>
    <w:rsid w:val="00E4100C"/>
    <w:rsid w:val="00E478B2"/>
    <w:rsid w:val="00E65E9C"/>
    <w:rsid w:val="00E6673B"/>
    <w:rsid w:val="00EB23E7"/>
    <w:rsid w:val="00ED5D9B"/>
    <w:rsid w:val="00F56F98"/>
    <w:rsid w:val="00FF760A"/>
    <w:rsid w:val="519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9F493"/>
  <w15:docId w15:val="{156D2132-D530-4648-9057-F1CD8C8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a">
    <w:name w:val="Strong"/>
    <w:uiPriority w:val="22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424F5-6D1D-4EA0-8399-BAF8DF99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472</Words>
  <Characters>2696</Characters>
  <Application>Microsoft Office Word</Application>
  <DocSecurity>0</DocSecurity>
  <Lines>22</Lines>
  <Paragraphs>6</Paragraphs>
  <ScaleCrop>false</ScaleCrop>
  <Company>yzb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lumeng</dc:creator>
  <cp:lastModifiedBy>lumeng</cp:lastModifiedBy>
  <cp:revision>3</cp:revision>
  <cp:lastPrinted>2021-01-11T10:16:00Z</cp:lastPrinted>
  <dcterms:created xsi:type="dcterms:W3CDTF">2021-01-12T11:19:00Z</dcterms:created>
  <dcterms:modified xsi:type="dcterms:W3CDTF">2021-01-12T11:19:00Z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