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为做好我院2022年博士研究生招生复试及录取工作，根据《江苏大学2022年博士研究生招生简章》与《江苏大学2022年博士研究生招生复试及录取办法》要求，本着公平、公正和有利于选拔拔尖创新人才的原则，结合我院实际，制定本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Style w:val="4"/>
          <w:rFonts w:hint="eastAsia" w:ascii="微软雅黑" w:hAnsi="微软雅黑" w:eastAsia="微软雅黑" w:cs="微软雅黑"/>
          <w:i w:val="0"/>
          <w:caps w:val="0"/>
          <w:color w:val="333333"/>
          <w:spacing w:val="0"/>
          <w:sz w:val="28"/>
          <w:szCs w:val="28"/>
          <w:bdr w:val="none" w:color="auto" w:sz="0" w:space="0"/>
        </w:rPr>
        <w:t>一、招生计划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我院2022年博士研究生招生计划为16 人（含定向奖励招生指标3人），其中普通招收计划不少于1人，定向生源人数不超过</w:t>
      </w:r>
      <w:r>
        <w:rPr>
          <w:rFonts w:hint="eastAsia" w:ascii="微软雅黑" w:hAnsi="微软雅黑" w:eastAsia="微软雅黑" w:cs="微软雅黑"/>
          <w:i w:val="0"/>
          <w:caps w:val="0"/>
          <w:color w:val="333333"/>
          <w:spacing w:val="0"/>
          <w:sz w:val="28"/>
          <w:szCs w:val="28"/>
          <w:bdr w:val="none" w:color="auto" w:sz="0" w:space="0"/>
        </w:rPr>
        <w:softHyphen/>
      </w:r>
      <w:r>
        <w:rPr>
          <w:rFonts w:hint="eastAsia" w:ascii="微软雅黑" w:hAnsi="微软雅黑" w:eastAsia="微软雅黑" w:cs="微软雅黑"/>
          <w:i w:val="0"/>
          <w:caps w:val="0"/>
          <w:color w:val="333333"/>
          <w:spacing w:val="0"/>
          <w:sz w:val="28"/>
          <w:szCs w:val="28"/>
          <w:bdr w:val="none" w:color="auto" w:sz="0" w:space="0"/>
        </w:rPr>
        <w:t xml:space="preserve"> 2人，实际招生人数在复试录取阶段根据学校下达的招生计划进行调整。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Style w:val="4"/>
          <w:rFonts w:hint="eastAsia" w:ascii="微软雅黑" w:hAnsi="微软雅黑" w:eastAsia="微软雅黑" w:cs="微软雅黑"/>
          <w:i w:val="0"/>
          <w:caps w:val="0"/>
          <w:color w:val="333333"/>
          <w:spacing w:val="0"/>
          <w:sz w:val="28"/>
          <w:szCs w:val="28"/>
          <w:bdr w:val="none" w:color="auto" w:sz="0" w:space="0"/>
        </w:rPr>
        <w:t>二、报考条件、报名流程及招生方式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严格遵照《江苏大学2022年博士研究生招生简章》与《江苏大学2022年博士研究生招生复试及录取办法》的相关要求和规定执行。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Style w:val="4"/>
          <w:rFonts w:hint="eastAsia" w:ascii="微软雅黑" w:hAnsi="微软雅黑" w:eastAsia="微软雅黑" w:cs="微软雅黑"/>
          <w:i w:val="0"/>
          <w:caps w:val="0"/>
          <w:color w:val="333333"/>
          <w:spacing w:val="0"/>
          <w:sz w:val="28"/>
          <w:szCs w:val="28"/>
          <w:bdr w:val="none" w:color="auto" w:sz="0" w:space="0"/>
        </w:rPr>
        <w:t>三、导师招生人数限额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每位导师招收人数原则上为1名；每位符合条件的优秀导师每年自主招收人数不超过1名。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Style w:val="4"/>
          <w:rFonts w:hint="eastAsia" w:ascii="微软雅黑" w:hAnsi="微软雅黑" w:eastAsia="微软雅黑" w:cs="微软雅黑"/>
          <w:i w:val="0"/>
          <w:caps w:val="0"/>
          <w:color w:val="333333"/>
          <w:spacing w:val="0"/>
          <w:sz w:val="28"/>
          <w:szCs w:val="28"/>
          <w:bdr w:val="none" w:color="auto" w:sz="0" w:space="0"/>
        </w:rPr>
        <w:t>四、专业基础及综合能力考核办法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（一）硕博连读招收、优秀导师自主招收申请考核办法：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1、11月29日前由学院组织资格审核，确定考生推荐名单后报研究生院。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2、12月5日前（具体时间另行通知）学院组织不少于5名博士生导师对考生提交的报名材料进行评估打分，具体标准为：</w:t>
      </w:r>
    </w:p>
    <w:tbl>
      <w:tblPr>
        <w:tblW w:w="8400" w:type="dxa"/>
        <w:jc w:val="center"/>
        <w:tblInd w:w="-2"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
      <w:tblGrid>
        <w:gridCol w:w="1545"/>
        <w:gridCol w:w="1770"/>
        <w:gridCol w:w="1290"/>
        <w:gridCol w:w="2115"/>
        <w:gridCol w:w="168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jc w:val="center"/>
        </w:trPr>
        <w:tc>
          <w:tcPr>
            <w:tcW w:w="8400" w:type="dxa"/>
            <w:gridSpan w:val="5"/>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sz w:val="28"/>
                <w:szCs w:val="28"/>
              </w:rPr>
            </w:pPr>
            <w:r>
              <w:rPr>
                <w:rFonts w:hint="eastAsia" w:ascii="微软雅黑" w:hAnsi="微软雅黑" w:eastAsia="微软雅黑" w:cs="微软雅黑"/>
                <w:i w:val="0"/>
                <w:caps w:val="0"/>
                <w:color w:val="333333"/>
                <w:spacing w:val="0"/>
                <w:sz w:val="28"/>
                <w:szCs w:val="28"/>
                <w:bdr w:val="none" w:color="auto" w:sz="0" w:space="0"/>
              </w:rPr>
              <w:t>电气信息工程学院博士生招生学业背景评价标准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Ex>
        <w:trPr>
          <w:trHeight w:val="435" w:hRule="atLeast"/>
          <w:jc w:val="center"/>
        </w:trPr>
        <w:tc>
          <w:tcPr>
            <w:tcW w:w="15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sz w:val="28"/>
                <w:szCs w:val="28"/>
              </w:rPr>
            </w:pPr>
            <w:r>
              <w:rPr>
                <w:rFonts w:hint="eastAsia" w:ascii="微软雅黑" w:hAnsi="微软雅黑" w:eastAsia="微软雅黑" w:cs="微软雅黑"/>
                <w:i w:val="0"/>
                <w:caps w:val="0"/>
                <w:color w:val="333333"/>
                <w:spacing w:val="0"/>
                <w:sz w:val="28"/>
                <w:szCs w:val="28"/>
                <w:bdr w:val="none" w:color="auto" w:sz="0" w:space="0"/>
              </w:rPr>
              <w:t>指标</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sz w:val="28"/>
                <w:szCs w:val="28"/>
              </w:rPr>
            </w:pPr>
            <w:r>
              <w:rPr>
                <w:rFonts w:hint="eastAsia" w:ascii="微软雅黑" w:hAnsi="微软雅黑" w:eastAsia="微软雅黑" w:cs="微软雅黑"/>
                <w:i w:val="0"/>
                <w:caps w:val="0"/>
                <w:color w:val="333333"/>
                <w:spacing w:val="0"/>
                <w:sz w:val="28"/>
                <w:szCs w:val="28"/>
                <w:bdr w:val="none" w:color="auto" w:sz="0" w:space="0"/>
              </w:rPr>
              <w:t>教育背景</w:t>
            </w:r>
          </w:p>
        </w:tc>
        <w:tc>
          <w:tcPr>
            <w:tcW w:w="12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sz w:val="28"/>
                <w:szCs w:val="28"/>
              </w:rPr>
            </w:pPr>
            <w:r>
              <w:rPr>
                <w:rFonts w:hint="eastAsia" w:ascii="微软雅黑" w:hAnsi="微软雅黑" w:eastAsia="微软雅黑" w:cs="微软雅黑"/>
                <w:i w:val="0"/>
                <w:caps w:val="0"/>
                <w:color w:val="333333"/>
                <w:spacing w:val="0"/>
                <w:sz w:val="28"/>
                <w:szCs w:val="28"/>
                <w:bdr w:val="none" w:color="auto" w:sz="0" w:space="0"/>
              </w:rPr>
              <w:t>学习能力</w:t>
            </w:r>
          </w:p>
        </w:tc>
        <w:tc>
          <w:tcPr>
            <w:tcW w:w="211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sz w:val="28"/>
                <w:szCs w:val="28"/>
              </w:rPr>
            </w:pPr>
            <w:r>
              <w:rPr>
                <w:rFonts w:hint="eastAsia" w:ascii="微软雅黑" w:hAnsi="微软雅黑" w:eastAsia="微软雅黑" w:cs="微软雅黑"/>
                <w:i w:val="0"/>
                <w:caps w:val="0"/>
                <w:color w:val="333333"/>
                <w:spacing w:val="0"/>
                <w:sz w:val="28"/>
                <w:szCs w:val="28"/>
                <w:bdr w:val="none" w:color="auto" w:sz="0" w:space="0"/>
              </w:rPr>
              <w:t>科研实践与创新</w:t>
            </w:r>
          </w:p>
        </w:tc>
        <w:tc>
          <w:tcPr>
            <w:tcW w:w="168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sz w:val="28"/>
                <w:szCs w:val="28"/>
              </w:rPr>
            </w:pPr>
            <w:r>
              <w:rPr>
                <w:rFonts w:hint="eastAsia" w:ascii="微软雅黑" w:hAnsi="微软雅黑" w:eastAsia="微软雅黑" w:cs="微软雅黑"/>
                <w:i w:val="0"/>
                <w:caps w:val="0"/>
                <w:color w:val="333333"/>
                <w:spacing w:val="0"/>
                <w:sz w:val="28"/>
                <w:szCs w:val="28"/>
                <w:bdr w:val="none" w:color="auto" w:sz="0" w:space="0"/>
              </w:rPr>
              <w:t>学术贡献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tblLayout w:type="fixed"/>
          <w:tblCellMar>
            <w:top w:w="0" w:type="dxa"/>
            <w:left w:w="0" w:type="dxa"/>
            <w:bottom w:w="0" w:type="dxa"/>
            <w:right w:w="0" w:type="dxa"/>
          </w:tblCellMar>
        </w:tblPrEx>
        <w:trPr>
          <w:trHeight w:val="316" w:hRule="atLeast"/>
          <w:jc w:val="center"/>
        </w:trPr>
        <w:tc>
          <w:tcPr>
            <w:tcW w:w="154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sz w:val="28"/>
                <w:szCs w:val="28"/>
              </w:rPr>
            </w:pPr>
            <w:r>
              <w:rPr>
                <w:rFonts w:hint="eastAsia" w:ascii="微软雅黑" w:hAnsi="微软雅黑" w:eastAsia="微软雅黑" w:cs="微软雅黑"/>
                <w:i w:val="0"/>
                <w:caps w:val="0"/>
                <w:color w:val="333333"/>
                <w:spacing w:val="0"/>
                <w:sz w:val="28"/>
                <w:szCs w:val="28"/>
                <w:bdr w:val="none" w:color="auto" w:sz="0" w:space="0"/>
              </w:rPr>
              <w:t>权重</w:t>
            </w:r>
          </w:p>
        </w:tc>
        <w:tc>
          <w:tcPr>
            <w:tcW w:w="177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sz w:val="28"/>
                <w:szCs w:val="28"/>
              </w:rPr>
            </w:pPr>
            <w:r>
              <w:rPr>
                <w:rFonts w:hint="eastAsia" w:ascii="微软雅黑" w:hAnsi="微软雅黑" w:eastAsia="微软雅黑" w:cs="微软雅黑"/>
                <w:i w:val="0"/>
                <w:caps w:val="0"/>
                <w:color w:val="333333"/>
                <w:spacing w:val="0"/>
                <w:sz w:val="28"/>
                <w:szCs w:val="28"/>
                <w:bdr w:val="none" w:color="auto" w:sz="0" w:space="0"/>
              </w:rPr>
              <w:t>10%</w:t>
            </w:r>
          </w:p>
        </w:tc>
        <w:tc>
          <w:tcPr>
            <w:tcW w:w="129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sz w:val="28"/>
                <w:szCs w:val="28"/>
              </w:rPr>
            </w:pPr>
            <w:r>
              <w:rPr>
                <w:rFonts w:hint="eastAsia" w:ascii="微软雅黑" w:hAnsi="微软雅黑" w:eastAsia="微软雅黑" w:cs="微软雅黑"/>
                <w:i w:val="0"/>
                <w:caps w:val="0"/>
                <w:color w:val="333333"/>
                <w:spacing w:val="0"/>
                <w:sz w:val="28"/>
                <w:szCs w:val="28"/>
                <w:bdr w:val="none" w:color="auto" w:sz="0" w:space="0"/>
              </w:rPr>
              <w:t>30%</w:t>
            </w:r>
          </w:p>
        </w:tc>
        <w:tc>
          <w:tcPr>
            <w:tcW w:w="2115"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sz w:val="28"/>
                <w:szCs w:val="28"/>
              </w:rPr>
            </w:pPr>
            <w:r>
              <w:rPr>
                <w:rFonts w:hint="eastAsia" w:ascii="微软雅黑" w:hAnsi="微软雅黑" w:eastAsia="微软雅黑" w:cs="微软雅黑"/>
                <w:i w:val="0"/>
                <w:caps w:val="0"/>
                <w:color w:val="333333"/>
                <w:spacing w:val="0"/>
                <w:sz w:val="28"/>
                <w:szCs w:val="28"/>
                <w:bdr w:val="none" w:color="auto" w:sz="0" w:space="0"/>
              </w:rPr>
              <w:t>30%</w:t>
            </w:r>
          </w:p>
        </w:tc>
        <w:tc>
          <w:tcPr>
            <w:tcW w:w="1680" w:type="dxa"/>
            <w:tcBorders>
              <w:top w:val="single" w:color="000000" w:sz="6" w:space="0"/>
              <w:left w:val="single" w:color="000000" w:sz="6" w:space="0"/>
              <w:bottom w:val="single" w:color="000000" w:sz="6" w:space="0"/>
              <w:right w:val="single" w:color="000000" w:sz="6" w:space="0"/>
            </w:tcBorders>
            <w:shd w:val="clear"/>
            <w:tcMar>
              <w:top w:w="30" w:type="dxa"/>
              <w:left w:w="45" w:type="dxa"/>
              <w:bottom w:w="30" w:type="dxa"/>
              <w:right w:w="4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0"/>
              <w:jc w:val="center"/>
              <w:rPr>
                <w:sz w:val="28"/>
                <w:szCs w:val="28"/>
              </w:rPr>
            </w:pPr>
            <w:r>
              <w:rPr>
                <w:rFonts w:hint="eastAsia" w:ascii="微软雅黑" w:hAnsi="微软雅黑" w:eastAsia="微软雅黑" w:cs="微软雅黑"/>
                <w:i w:val="0"/>
                <w:caps w:val="0"/>
                <w:color w:val="333333"/>
                <w:spacing w:val="0"/>
                <w:sz w:val="28"/>
                <w:szCs w:val="28"/>
                <w:bdr w:val="none" w:color="auto" w:sz="0" w:space="0"/>
              </w:rPr>
              <w:t>30%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推荐考生进行专业基础及能力考核，考核方式采用PPT汇报、答辩形式，并给出得分（百分制），确定初步拟录取名单报研究生院审核。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具体考核方案（含总成绩记分办法）为：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考生PPT陈述，内容包括个人简况、科研工作、个人业绩及等能反映综合能力的内容，陈述时间不超过8分钟。专家提问考生答辩，着重对考生外语听说能力、学术水平、科研能力、综合素质及在本学科领域发展的潜力进行综合测评，每位复试专家现场打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材料评估占10%、综合面试占90%。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我院本年度无“五年制”博士预备生。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Style w:val="4"/>
          <w:rFonts w:hint="eastAsia" w:ascii="微软雅黑" w:hAnsi="微软雅黑" w:eastAsia="微软雅黑" w:cs="微软雅黑"/>
          <w:i w:val="0"/>
          <w:caps w:val="0"/>
          <w:color w:val="333333"/>
          <w:spacing w:val="0"/>
          <w:sz w:val="28"/>
          <w:szCs w:val="28"/>
          <w:bdr w:val="none" w:color="auto" w:sz="0" w:space="0"/>
        </w:rPr>
        <w:t>（二）普通招收申请考核办法：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普通招收考试应及时关注12月份我校研究生招生信息网（http://yz.ujs.edu.cn）公布的学院剩余招生计划。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英语水平测试通过者进入综合考核环节，学院组织不少于5名博士生导师对其进行专业基础及能力考核，复试综合考核办法如下：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1、考核成绩以百分制计：材料评估占10%、综合面试占90%。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2、考核内容：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（1）材料评估：具体标准参考硕博连读招收、优秀导师自主招收部分评价标准。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2）面试：专业基础和综合能力考核采用考生PPT陈述（内容包括个人简况、科研工作、学术成果、个人业绩等能反映综合能力的内容、陈述时间不超过8分钟）及专家提问学生答辩的形式，对考生外语听说能力、学术水平、科研能力、综合素质及在本学科领域发展的潜力进行综合测评，每位复试专家现场打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Style w:val="4"/>
          <w:rFonts w:hint="eastAsia" w:ascii="微软雅黑" w:hAnsi="微软雅黑" w:eastAsia="微软雅黑" w:cs="微软雅黑"/>
          <w:i w:val="0"/>
          <w:caps w:val="0"/>
          <w:color w:val="333333"/>
          <w:spacing w:val="0"/>
          <w:sz w:val="28"/>
          <w:szCs w:val="28"/>
          <w:bdr w:val="none" w:color="auto" w:sz="0" w:space="0"/>
        </w:rPr>
        <w:t>五、录取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硕博连读招收、优秀导师自主招收：学院按照考生考核总成绩以及导师招生人数限额规定确定拟录取名单报研究生院。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普通招收：学院至少保留1个计划用于普招，根据考核总成绩及本学院剩余计划确定拟录取名单，其中定向生源人数原则上不超过本学院招生总人数的15%。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录取类别分为非定向和定向两类。非定向博士研究生的人事档案和组织关系等转入我校，毕业后“双向选择”就业。定向博士研究生在学期间不转人事档案，录取前，学校与考生及考生工作单位签订定向培养协议。定向博士研究生毕业后，毕业证书、学位证书和在校学籍档案由学校寄发定向单位人事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Style w:val="4"/>
          <w:rFonts w:hint="eastAsia" w:ascii="微软雅黑" w:hAnsi="微软雅黑" w:eastAsia="微软雅黑" w:cs="微软雅黑"/>
          <w:i w:val="0"/>
          <w:caps w:val="0"/>
          <w:color w:val="333333"/>
          <w:spacing w:val="0"/>
          <w:sz w:val="28"/>
          <w:szCs w:val="28"/>
          <w:bdr w:val="none" w:color="auto" w:sz="0" w:space="0"/>
        </w:rPr>
        <w:t>六、公示和监督渠道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我院博士研究生招生复试录取工作实施细则在校研究生院和我院网站公布。我院招生咨询电话为：0511-88780311杨老师 ； 监督电话：0511-88780310叶老师。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560"/>
        <w:rPr>
          <w:rFonts w:hint="eastAsia" w:ascii="微软雅黑" w:hAnsi="微软雅黑" w:eastAsia="微软雅黑" w:cs="微软雅黑"/>
          <w:i w:val="0"/>
          <w:caps w:val="0"/>
          <w:color w:val="333333"/>
          <w:spacing w:val="0"/>
          <w:sz w:val="28"/>
          <w:szCs w:val="28"/>
        </w:rPr>
      </w:pPr>
      <w:r>
        <w:rPr>
          <w:rFonts w:hint="eastAsia" w:ascii="微软雅黑" w:hAnsi="微软雅黑" w:eastAsia="微软雅黑" w:cs="微软雅黑"/>
          <w:i w:val="0"/>
          <w:caps w:val="0"/>
          <w:color w:val="333333"/>
          <w:spacing w:val="0"/>
          <w:sz w:val="28"/>
          <w:szCs w:val="28"/>
          <w:bdr w:val="none" w:color="auto" w:sz="0" w:space="0"/>
        </w:rPr>
        <w:t>本实施细则由江苏大学电气信息工程学院负责解释，未尽事宜按学校有关文件执行。</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A3E65"/>
    <w:rsid w:val="70BA3E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2022-01-24T08:49:00Z</dcterms:created>
  <dc:creator>HHsxk</dc:creator>
  <cp:lastModifiedBy>HHsxk</cp:lastModifiedBy>
  <dcterms:modified xsi:type="dcterms:W3CDTF">2022-01-24T08:50:01Z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