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为做好我院2022年博士研究生招生复试及录取工作，根据《江苏大学2022年博士研究生招生简章》与《江苏大学2022年博士研究生招生复试及录取办法》要求，本着公平、公正和有利于选拔拔尖创新人才的原则，结合我院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一、招生计划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我院2022年博士研究生招生计划为16 人（含定向奖励招生指标3人），其中普通招收计划不少于1人，定向生源人数不超过</w:t>
      </w:r>
      <w:r>
        <w:rPr>
          <w:rFonts w:hint="eastAsia" w:ascii="微软雅黑" w:hAnsi="微软雅黑" w:eastAsia="微软雅黑" w:cs="微软雅黑"/>
          <w:i w:val="0"/>
          <w:caps w:val="0"/>
          <w:color w:val="333333"/>
          <w:spacing w:val="0"/>
          <w:sz w:val="28"/>
          <w:szCs w:val="28"/>
          <w:bdr w:val="none" w:color="auto" w:sz="0" w:space="0"/>
        </w:rPr>
        <w:softHyphen/>
      </w:r>
      <w:r>
        <w:rPr>
          <w:rFonts w:hint="eastAsia" w:ascii="微软雅黑" w:hAnsi="微软雅黑" w:eastAsia="微软雅黑" w:cs="微软雅黑"/>
          <w:i w:val="0"/>
          <w:caps w:val="0"/>
          <w:color w:val="333333"/>
          <w:spacing w:val="0"/>
          <w:sz w:val="28"/>
          <w:szCs w:val="28"/>
          <w:bdr w:val="none" w:color="auto" w:sz="0" w:space="0"/>
        </w:rPr>
        <w:t xml:space="preserve"> 2人，实际招生人数在复试录取阶段根据学校下达的招生计划进行调整。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二、报考条件、报名流程及招生方式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严格遵照《江苏大学2022年博士研究生招生简章》与《江苏大学2022年博士研究生招生复试及录取办法》的相关要求和规定执行。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三、导师招生人数限额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每位导师招收人数原则上为1名；每位符合条件的优秀导师每年自主招收人数不超过1名。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四、专业基础及综合能力考核办法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（一）硕博连读招收、优秀导师自主招收申请考核办法：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1、11月29日前由学院组织资格审核，确定考生推荐名单后报研究生院。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2、12月5日前（具体时间另行通知）学院组织不少于5名博士生导师对考生提交的报名材料进行评估打分，具体标准为：</w:t>
      </w:r>
    </w:p>
    <w:tbl>
      <w:tblPr>
        <w:tblW w:w="8400" w:type="dxa"/>
        <w:jc w:val="center"/>
        <w:tblInd w:w="-2"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1545"/>
        <w:gridCol w:w="1770"/>
        <w:gridCol w:w="1290"/>
        <w:gridCol w:w="2115"/>
        <w:gridCol w:w="16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jc w:val="center"/>
        </w:trPr>
        <w:tc>
          <w:tcPr>
            <w:tcW w:w="8400" w:type="dxa"/>
            <w:gridSpan w:val="5"/>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电气信息工程学院博士生招生学业背景评价标准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Ex>
        <w:trPr>
          <w:trHeight w:val="435" w:hRule="atLeast"/>
          <w:jc w:val="center"/>
        </w:trPr>
        <w:tc>
          <w:tcPr>
            <w:tcW w:w="15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指标</w:t>
            </w:r>
          </w:p>
        </w:tc>
        <w:tc>
          <w:tcPr>
            <w:tcW w:w="17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教育背景</w:t>
            </w:r>
          </w:p>
        </w:tc>
        <w:tc>
          <w:tcPr>
            <w:tcW w:w="12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学习能力</w:t>
            </w:r>
          </w:p>
        </w:tc>
        <w:tc>
          <w:tcPr>
            <w:tcW w:w="21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科研实践与创新</w:t>
            </w:r>
          </w:p>
        </w:tc>
        <w:tc>
          <w:tcPr>
            <w:tcW w:w="1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学术贡献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jc w:val="center"/>
        </w:trPr>
        <w:tc>
          <w:tcPr>
            <w:tcW w:w="15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权重</w:t>
            </w:r>
          </w:p>
        </w:tc>
        <w:tc>
          <w:tcPr>
            <w:tcW w:w="17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10%</w:t>
            </w:r>
          </w:p>
        </w:tc>
        <w:tc>
          <w:tcPr>
            <w:tcW w:w="12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30%</w:t>
            </w:r>
          </w:p>
        </w:tc>
        <w:tc>
          <w:tcPr>
            <w:tcW w:w="21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30%</w:t>
            </w:r>
          </w:p>
        </w:tc>
        <w:tc>
          <w:tcPr>
            <w:tcW w:w="16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sz w:val="28"/>
                <w:szCs w:val="28"/>
              </w:rPr>
            </w:pPr>
            <w:r>
              <w:rPr>
                <w:rFonts w:hint="eastAsia" w:ascii="微软雅黑" w:hAnsi="微软雅黑" w:eastAsia="微软雅黑" w:cs="微软雅黑"/>
                <w:i w:val="0"/>
                <w:caps w:val="0"/>
                <w:color w:val="333333"/>
                <w:spacing w:val="0"/>
                <w:sz w:val="28"/>
                <w:szCs w:val="28"/>
                <w:bdr w:val="none" w:color="auto" w:sz="0" w:space="0"/>
              </w:rPr>
              <w:t>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推荐考生进行专业基础及能力考核，考核方式采用PPT汇报、答辩形式，并给出得分（百分制），确定初步拟录取名单报研究生院审核。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具体考核方案（含总成绩记分办法）为：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考生PPT陈述，内容包括个人简况、科研工作、个人业绩及等能反映综合能力的内容，陈述时间不超过8分钟。专家提问考生答辩，着重对考生外语听说能力、学术水平、科研能力、综合素质及在本学科领域发展的潜力进行综合测评，每位复试专家现场打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材料评估占10%、综合面试占90%。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我院本年度无“五年制”博士预备生。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（二）普通招收申请考核办法：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普通招收考试应及时关注12月份我校研究生招生信息网（http://yz.ujs.edu.cn）公布的学院剩余招生计划。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英语水平测试通过者进入综合考核环节，学院组织不少于5名博士生导师对其进行专业基础及能力考核，复试综合考核办法如下：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1、考核成绩以百分制计：材料评估占10%、综合面试占90%。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（1）材料评估：具体标准参考硕博连读招收、优秀导师自主招收部分评价标准。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面试：专业基础和综合能力考核采用考生PPT陈述（内容包括个人简况、科研工作、学术成果、个人业绩等能反映综合能力的内容、陈述时间不超过8分钟）及专家提问学生答辩的形式，对考生外语听说能力、学术水平、科研能力、综合素质及在本学科领域发展的潜力进行综合测评，每位复试专家现场打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硕博连读招收、优秀导师自主招收：学院按照考生考核总成绩以及导师招生人数限额规定确定拟录取名单报研究生院。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普通招收：学院至少保留1个计划用于普招，根据考核总成绩及本学院剩余计划确定拟录取名单，其中定向生源人数原则上不超过本学院招生总人数的15%。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录取类别分为非定向和定向两类。非定向博士研究生的人事档案和组织关系等转入我校，毕业后“双向选择”就业。定向博士研究生在学期间不转人事档案，录取前，学校与考生及考生工作单位签订定向培养协议。定向博士研究生毕业后，毕业证书、学位证书和在校学籍档案由学校寄发定向单位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Style w:val="4"/>
          <w:rFonts w:hint="eastAsia" w:ascii="微软雅黑" w:hAnsi="微软雅黑" w:eastAsia="微软雅黑" w:cs="微软雅黑"/>
          <w:i w:val="0"/>
          <w:caps w:val="0"/>
          <w:color w:val="333333"/>
          <w:spacing w:val="0"/>
          <w:sz w:val="28"/>
          <w:szCs w:val="28"/>
          <w:bdr w:val="none" w:color="auto" w:sz="0" w:space="0"/>
        </w:rPr>
        <w:t>六、公示和监督渠道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我院博士研究生招生复试录取工作实施细则在校研究生院和我院网站公布。我院招生咨询电话为：0511-88780311杨老师 ； 监督电话：0511-88780310叶老师。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60"/>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本实施细则由江苏大学电气信息工程学院负责解释，未尽事宜按学校有关文件执行。</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A3E65"/>
    <w:rsid w:val="70BA3E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2022-01-24T08:49:00Z</dcterms:created>
  <dc:creator>HHsxk</dc:creator>
  <cp:lastModifiedBy>HHsxk</cp:lastModifiedBy>
  <dcterms:modified xsi:type="dcterms:W3CDTF">2022-01-24T08:50:01Z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