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imes New Roman" w:hAnsi="Times New Roman" w:cs="Times New Roman"/>
          <w:b/>
          <w:sz w:val="30"/>
          <w:szCs w:val="30"/>
        </w:rPr>
      </w:pPr>
      <w:r>
        <w:rPr>
          <w:rFonts w:ascii="Times New Roman" w:cs="Times New Roman"/>
          <w:b/>
          <w:sz w:val="30"/>
          <w:szCs w:val="30"/>
        </w:rPr>
        <w:t>山东农业大学林学院</w:t>
      </w:r>
    </w:p>
    <w:p>
      <w:pPr>
        <w:snapToGrid w:val="0"/>
        <w:spacing w:line="360" w:lineRule="auto"/>
        <w:jc w:val="center"/>
        <w:rPr>
          <w:rFonts w:ascii="Times New Roman" w:hAnsi="Times New Roman" w:cs="Times New Roman"/>
          <w:b/>
          <w:sz w:val="30"/>
          <w:szCs w:val="30"/>
        </w:rPr>
      </w:pPr>
      <w:r>
        <w:rPr>
          <w:rFonts w:ascii="Times New Roman" w:hAnsi="Times New Roman" w:cs="Times New Roman"/>
          <w:b/>
          <w:sz w:val="30"/>
          <w:szCs w:val="30"/>
        </w:rPr>
        <w:t>202</w:t>
      </w:r>
      <w:r>
        <w:rPr>
          <w:rFonts w:hint="eastAsia" w:ascii="Times New Roman" w:hAnsi="Times New Roman" w:cs="Times New Roman"/>
          <w:b/>
          <w:sz w:val="30"/>
          <w:szCs w:val="30"/>
        </w:rPr>
        <w:t>2</w:t>
      </w:r>
      <w:r>
        <w:rPr>
          <w:rFonts w:ascii="Times New Roman" w:cs="Times New Roman"/>
          <w:b/>
          <w:sz w:val="30"/>
          <w:szCs w:val="30"/>
        </w:rPr>
        <w:t>年</w:t>
      </w:r>
      <w:r>
        <w:rPr>
          <w:rFonts w:ascii="Times New Roman" w:hAnsi="Times New Roman" w:cs="Times New Roman"/>
          <w:b/>
          <w:sz w:val="30"/>
          <w:szCs w:val="30"/>
        </w:rPr>
        <w:t>“</w:t>
      </w:r>
      <w:r>
        <w:rPr>
          <w:rFonts w:ascii="Times New Roman" w:cs="Times New Roman"/>
          <w:b/>
          <w:sz w:val="30"/>
          <w:szCs w:val="30"/>
        </w:rPr>
        <w:t>申请</w:t>
      </w:r>
      <w:r>
        <w:rPr>
          <w:rFonts w:ascii="Times New Roman" w:hAnsi="Times New Roman" w:cs="Times New Roman"/>
          <w:b/>
          <w:sz w:val="30"/>
          <w:szCs w:val="30"/>
        </w:rPr>
        <w:t>-</w:t>
      </w:r>
      <w:r>
        <w:rPr>
          <w:rFonts w:ascii="Times New Roman" w:cs="Times New Roman"/>
          <w:b/>
          <w:sz w:val="30"/>
          <w:szCs w:val="30"/>
        </w:rPr>
        <w:t>考核制</w:t>
      </w:r>
      <w:r>
        <w:rPr>
          <w:rFonts w:ascii="Times New Roman" w:hAnsi="Times New Roman" w:cs="Times New Roman"/>
          <w:b/>
          <w:sz w:val="30"/>
          <w:szCs w:val="30"/>
        </w:rPr>
        <w:t>”</w:t>
      </w:r>
      <w:r>
        <w:rPr>
          <w:rFonts w:ascii="Times New Roman" w:cs="Times New Roman"/>
          <w:b/>
          <w:sz w:val="30"/>
          <w:szCs w:val="30"/>
        </w:rPr>
        <w:t>招收博士研究生实施方案（试行）</w:t>
      </w:r>
    </w:p>
    <w:p>
      <w:pPr>
        <w:snapToGrid w:val="0"/>
        <w:spacing w:line="360" w:lineRule="auto"/>
        <w:rPr>
          <w:rFonts w:ascii="Times New Roman" w:hAnsi="Times New Roman" w:cs="Times New Roman"/>
          <w:sz w:val="24"/>
          <w:szCs w:val="24"/>
        </w:rPr>
      </w:pP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cs="Times New Roman"/>
          <w:sz w:val="24"/>
          <w:szCs w:val="24"/>
        </w:rPr>
        <w:t>根据山东农业大学《山东农业大学</w:t>
      </w:r>
      <w:r>
        <w:rPr>
          <w:rFonts w:ascii="Times New Roman" w:hAnsi="Times New Roman" w:cs="Times New Roman"/>
          <w:sz w:val="24"/>
          <w:szCs w:val="24"/>
        </w:rPr>
        <w:t>202</w:t>
      </w:r>
      <w:r>
        <w:rPr>
          <w:rFonts w:hint="eastAsia" w:ascii="Times New Roman" w:hAnsi="Times New Roman" w:cs="Times New Roman"/>
          <w:sz w:val="24"/>
          <w:szCs w:val="24"/>
        </w:rPr>
        <w:t>2</w:t>
      </w:r>
      <w:r>
        <w:rPr>
          <w:rFonts w:ascii="Times New Roman" w:cs="Times New Roman"/>
          <w:sz w:val="24"/>
          <w:szCs w:val="24"/>
        </w:rPr>
        <w:t>年</w:t>
      </w:r>
      <w:r>
        <w:rPr>
          <w:rFonts w:ascii="Times New Roman" w:hAnsi="Times New Roman" w:cs="Times New Roman"/>
          <w:sz w:val="24"/>
          <w:szCs w:val="24"/>
        </w:rPr>
        <w:t>“</w:t>
      </w:r>
      <w:r>
        <w:rPr>
          <w:rFonts w:ascii="Times New Roman" w:cs="Times New Roman"/>
          <w:sz w:val="24"/>
          <w:szCs w:val="24"/>
        </w:rPr>
        <w:t>申请</w:t>
      </w:r>
      <w:r>
        <w:rPr>
          <w:rFonts w:ascii="Times New Roman" w:hAnsi="Times New Roman" w:cs="Times New Roman"/>
          <w:sz w:val="24"/>
          <w:szCs w:val="24"/>
        </w:rPr>
        <w:t>-</w:t>
      </w:r>
      <w:r>
        <w:rPr>
          <w:rFonts w:ascii="Times New Roman" w:cs="Times New Roman"/>
          <w:sz w:val="24"/>
          <w:szCs w:val="24"/>
        </w:rPr>
        <w:t>考核制</w:t>
      </w:r>
      <w:r>
        <w:rPr>
          <w:rFonts w:ascii="Times New Roman" w:hAnsi="Times New Roman" w:cs="Times New Roman"/>
          <w:sz w:val="24"/>
          <w:szCs w:val="24"/>
        </w:rPr>
        <w:t>”</w:t>
      </w:r>
      <w:r>
        <w:rPr>
          <w:rFonts w:ascii="Times New Roman" w:cs="Times New Roman"/>
          <w:sz w:val="24"/>
          <w:szCs w:val="24"/>
        </w:rPr>
        <w:t>招收博士研究生实施方案》精神，为进一步提升林学院博士研究生选拔质量，改进选拔考核方式，扩大导师、学科在博士研究生选拔中的自主权，结合学院实际情况及博士生培养规律，遵循公开、公平、公正原则，制定本实施方案。</w:t>
      </w:r>
    </w:p>
    <w:p>
      <w:pPr>
        <w:snapToGrid w:val="0"/>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cs="Times New Roman"/>
          <w:sz w:val="24"/>
          <w:szCs w:val="24"/>
        </w:rPr>
        <w:t>博士研究生</w:t>
      </w:r>
      <w:r>
        <w:rPr>
          <w:rFonts w:ascii="Times New Roman" w:hAnsi="Times New Roman" w:cs="Times New Roman"/>
          <w:sz w:val="24"/>
          <w:szCs w:val="24"/>
        </w:rPr>
        <w:t>“</w:t>
      </w:r>
      <w:r>
        <w:rPr>
          <w:rFonts w:ascii="Times New Roman" w:cs="Times New Roman"/>
          <w:sz w:val="24"/>
          <w:szCs w:val="24"/>
        </w:rPr>
        <w:t>申请</w:t>
      </w:r>
      <w:r>
        <w:rPr>
          <w:rFonts w:ascii="Times New Roman" w:hAnsi="Times New Roman" w:cs="Times New Roman"/>
          <w:sz w:val="24"/>
          <w:szCs w:val="24"/>
        </w:rPr>
        <w:t>-</w:t>
      </w:r>
      <w:r>
        <w:rPr>
          <w:rFonts w:ascii="Times New Roman" w:cs="Times New Roman"/>
          <w:sz w:val="24"/>
          <w:szCs w:val="24"/>
        </w:rPr>
        <w:t>考核制</w:t>
      </w:r>
      <w:r>
        <w:rPr>
          <w:rFonts w:ascii="Times New Roman" w:hAnsi="Times New Roman" w:cs="Times New Roman"/>
          <w:sz w:val="24"/>
          <w:szCs w:val="24"/>
        </w:rPr>
        <w:t>”</w:t>
      </w:r>
      <w:r>
        <w:rPr>
          <w:rFonts w:ascii="Times New Roman" w:cs="Times New Roman"/>
          <w:sz w:val="24"/>
          <w:szCs w:val="24"/>
        </w:rPr>
        <w:t>包括研招网报名、学校材料初审、学科材料复审及考核、录取四个环节。学院成立招生</w:t>
      </w:r>
      <w:r>
        <w:rPr>
          <w:rFonts w:hint="eastAsia" w:ascii="Times New Roman" w:cs="Times New Roman"/>
          <w:sz w:val="24"/>
          <w:szCs w:val="24"/>
        </w:rPr>
        <w:t>工作</w:t>
      </w:r>
      <w:r>
        <w:rPr>
          <w:rFonts w:ascii="Times New Roman" w:cs="Times New Roman"/>
          <w:sz w:val="24"/>
          <w:szCs w:val="24"/>
        </w:rPr>
        <w:t>领导小组</w:t>
      </w:r>
      <w:r>
        <w:rPr>
          <w:rFonts w:hint="eastAsia" w:ascii="Times New Roman" w:cs="Times New Roman"/>
          <w:sz w:val="24"/>
          <w:szCs w:val="24"/>
        </w:rPr>
        <w:t>、招生工作监督小组</w:t>
      </w:r>
      <w:r>
        <w:rPr>
          <w:rFonts w:ascii="Times New Roman" w:cs="Times New Roman"/>
          <w:sz w:val="24"/>
          <w:szCs w:val="24"/>
        </w:rPr>
        <w:t>和学科考核小组，共同保障上述环节及本方案的执行。具体实施方案如下：</w:t>
      </w:r>
    </w:p>
    <w:p>
      <w:pPr>
        <w:snapToGrid w:val="0"/>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cs="Times New Roman"/>
          <w:b/>
          <w:sz w:val="24"/>
          <w:szCs w:val="24"/>
        </w:rPr>
        <w:t>一、组织领导</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cs="Times New Roman"/>
          <w:sz w:val="24"/>
          <w:szCs w:val="24"/>
        </w:rPr>
        <w:t>（一）招生工作领导小组</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cs="Times New Roman"/>
          <w:sz w:val="24"/>
          <w:szCs w:val="24"/>
        </w:rPr>
        <w:t>组长：鲁法典</w:t>
      </w:r>
    </w:p>
    <w:p>
      <w:pPr>
        <w:tabs>
          <w:tab w:val="left" w:pos="1377"/>
        </w:tabs>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cs="Times New Roman"/>
          <w:sz w:val="24"/>
          <w:szCs w:val="24"/>
        </w:rPr>
        <w:t>组员：于晓艳、桑亚林</w:t>
      </w:r>
      <w:r>
        <w:rPr>
          <w:rFonts w:hint="eastAsia" w:ascii="Times New Roman" w:cs="Times New Roman"/>
          <w:sz w:val="24"/>
          <w:szCs w:val="24"/>
        </w:rPr>
        <w:t>、曹帮华、李传荣</w:t>
      </w:r>
    </w:p>
    <w:p>
      <w:pPr>
        <w:tabs>
          <w:tab w:val="left" w:pos="1377"/>
        </w:tabs>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cs="Times New Roman"/>
          <w:sz w:val="24"/>
          <w:szCs w:val="24"/>
        </w:rPr>
        <w:t>职责：负责制定符合学院学科特点的考核方案，报研究生招生办公室审核备案，并负责领导、组织学院博士生的申请、考核工作。</w:t>
      </w:r>
    </w:p>
    <w:p>
      <w:pPr>
        <w:tabs>
          <w:tab w:val="left" w:pos="1377"/>
        </w:tabs>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cs="Times New Roman"/>
          <w:sz w:val="24"/>
          <w:szCs w:val="24"/>
        </w:rPr>
        <w:t>（二）招生工作监督小组</w:t>
      </w:r>
    </w:p>
    <w:p>
      <w:pPr>
        <w:tabs>
          <w:tab w:val="left" w:pos="1377"/>
        </w:tabs>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cs="Times New Roman"/>
          <w:sz w:val="24"/>
          <w:szCs w:val="24"/>
        </w:rPr>
        <w:t>组长：栗成良</w:t>
      </w:r>
    </w:p>
    <w:p>
      <w:pPr>
        <w:tabs>
          <w:tab w:val="left" w:pos="1377"/>
        </w:tabs>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cs="Times New Roman"/>
          <w:sz w:val="24"/>
          <w:szCs w:val="24"/>
        </w:rPr>
        <w:t>组员：王庆材、王旭</w:t>
      </w:r>
    </w:p>
    <w:p>
      <w:pPr>
        <w:tabs>
          <w:tab w:val="left" w:pos="1377"/>
        </w:tabs>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cs="Times New Roman"/>
          <w:sz w:val="24"/>
          <w:szCs w:val="24"/>
        </w:rPr>
        <w:t>职责：负责学院</w:t>
      </w:r>
      <w:r>
        <w:rPr>
          <w:rFonts w:ascii="Times New Roman" w:hAnsi="Times New Roman" w:cs="Times New Roman"/>
          <w:sz w:val="24"/>
          <w:szCs w:val="24"/>
        </w:rPr>
        <w:t>“</w:t>
      </w:r>
      <w:r>
        <w:rPr>
          <w:rFonts w:ascii="Times New Roman" w:cs="Times New Roman"/>
          <w:sz w:val="24"/>
          <w:szCs w:val="24"/>
        </w:rPr>
        <w:t>申请</w:t>
      </w:r>
      <w:r>
        <w:rPr>
          <w:rFonts w:ascii="Times New Roman" w:hAnsi="Times New Roman" w:cs="Times New Roman"/>
          <w:sz w:val="24"/>
          <w:szCs w:val="24"/>
        </w:rPr>
        <w:t>-</w:t>
      </w:r>
      <w:r>
        <w:rPr>
          <w:rFonts w:ascii="Times New Roman" w:cs="Times New Roman"/>
          <w:sz w:val="24"/>
          <w:szCs w:val="24"/>
        </w:rPr>
        <w:t>考核制</w:t>
      </w:r>
      <w:r>
        <w:rPr>
          <w:rFonts w:ascii="Times New Roman" w:hAnsi="Times New Roman" w:cs="Times New Roman"/>
          <w:sz w:val="24"/>
          <w:szCs w:val="24"/>
        </w:rPr>
        <w:t>”</w:t>
      </w:r>
      <w:r>
        <w:rPr>
          <w:rFonts w:ascii="Times New Roman" w:cs="Times New Roman"/>
          <w:sz w:val="24"/>
          <w:szCs w:val="24"/>
        </w:rPr>
        <w:t>招生工作实施的监督、检查及违规处理，负责受理考生举报与投诉。</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cs="Times New Roman"/>
          <w:sz w:val="24"/>
          <w:szCs w:val="24"/>
        </w:rPr>
        <w:t>（三）学科考核工作小组</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cs="Times New Roman"/>
          <w:sz w:val="24"/>
          <w:szCs w:val="24"/>
        </w:rPr>
        <w:t>学科成立不少于</w:t>
      </w:r>
      <w:r>
        <w:rPr>
          <w:rFonts w:ascii="Times New Roman" w:hAnsi="Times New Roman" w:cs="Times New Roman"/>
          <w:sz w:val="24"/>
          <w:szCs w:val="24"/>
        </w:rPr>
        <w:t>7</w:t>
      </w:r>
      <w:r>
        <w:rPr>
          <w:rFonts w:ascii="Times New Roman" w:cs="Times New Roman"/>
          <w:sz w:val="24"/>
          <w:szCs w:val="24"/>
        </w:rPr>
        <w:t>人的考核工作小组，小组成员须为博士生导师（其中</w:t>
      </w:r>
      <w:r>
        <w:rPr>
          <w:rFonts w:ascii="Times New Roman" w:hAnsi="Times New Roman" w:cs="Times New Roman"/>
          <w:sz w:val="24"/>
          <w:szCs w:val="24"/>
        </w:rPr>
        <w:t>4</w:t>
      </w:r>
      <w:r>
        <w:rPr>
          <w:rFonts w:ascii="Times New Roman" w:cs="Times New Roman"/>
          <w:sz w:val="24"/>
          <w:szCs w:val="24"/>
        </w:rPr>
        <w:t>人为非本院博士生指导教师），负责对申请人申请材料进行综合评定，根据学科情况采取面试或面试笔试相结合的方式对申请者进行英语水平、专业能力及综合素质考核。</w:t>
      </w:r>
    </w:p>
    <w:p>
      <w:pPr>
        <w:snapToGrid w:val="0"/>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cs="Times New Roman"/>
          <w:b/>
          <w:sz w:val="24"/>
          <w:szCs w:val="24"/>
        </w:rPr>
        <w:t>二、招生计划及招生资格</w:t>
      </w:r>
    </w:p>
    <w:p>
      <w:pPr>
        <w:snapToGrid w:val="0"/>
        <w:spacing w:line="360" w:lineRule="auto"/>
        <w:rPr>
          <w:rFonts w:ascii="Times New Roman" w:hAnsi="Times New Roman" w:eastAsia="宋体" w:cs="Times New Roman"/>
          <w:sz w:val="24"/>
          <w:szCs w:val="24"/>
        </w:rPr>
      </w:pPr>
      <w:r>
        <w:rPr>
          <w:rFonts w:ascii="Times New Roman" w:hAnsi="Times New Roman" w:cs="Times New Roman"/>
          <w:b/>
          <w:sz w:val="24"/>
          <w:szCs w:val="24"/>
        </w:rPr>
        <w:t xml:space="preserve">    </w:t>
      </w:r>
      <w:r>
        <w:rPr>
          <w:rFonts w:ascii="Times New Roman" w:cs="Times New Roman"/>
          <w:sz w:val="24"/>
          <w:szCs w:val="24"/>
        </w:rPr>
        <w:t>招生名额和招生导师</w:t>
      </w:r>
      <w:r>
        <w:rPr>
          <w:rFonts w:ascii="Times New Roman" w:hAnsi="宋体" w:eastAsia="宋体" w:cs="Times New Roman"/>
          <w:sz w:val="24"/>
          <w:szCs w:val="24"/>
        </w:rPr>
        <w:t>见研究生招生办公室公布博士研究生招生专业目录时下达的</w:t>
      </w:r>
      <w:r>
        <w:rPr>
          <w:rFonts w:ascii="Times New Roman" w:hAnsi="Times New Roman" w:eastAsia="宋体" w:cs="Times New Roman"/>
          <w:sz w:val="24"/>
          <w:szCs w:val="24"/>
        </w:rPr>
        <w:t>“</w:t>
      </w:r>
      <w:r>
        <w:rPr>
          <w:rFonts w:ascii="Times New Roman" w:hAnsi="宋体" w:eastAsia="宋体" w:cs="Times New Roman"/>
          <w:sz w:val="24"/>
          <w:szCs w:val="24"/>
        </w:rPr>
        <w:t>申请</w:t>
      </w:r>
      <w:r>
        <w:rPr>
          <w:rFonts w:ascii="Times New Roman" w:hAnsi="Times New Roman" w:eastAsia="宋体" w:cs="Times New Roman"/>
          <w:sz w:val="24"/>
          <w:szCs w:val="24"/>
        </w:rPr>
        <w:t>-</w:t>
      </w:r>
      <w:r>
        <w:rPr>
          <w:rFonts w:ascii="Times New Roman" w:hAnsi="宋体" w:eastAsia="宋体" w:cs="Times New Roman"/>
          <w:sz w:val="24"/>
          <w:szCs w:val="24"/>
        </w:rPr>
        <w:t>考核制</w:t>
      </w:r>
      <w:r>
        <w:rPr>
          <w:rFonts w:ascii="Times New Roman" w:hAnsi="Times New Roman" w:eastAsia="宋体" w:cs="Times New Roman"/>
          <w:sz w:val="24"/>
          <w:szCs w:val="24"/>
        </w:rPr>
        <w:t>”</w:t>
      </w:r>
      <w:r>
        <w:rPr>
          <w:rFonts w:ascii="Times New Roman" w:hAnsi="宋体" w:eastAsia="宋体" w:cs="Times New Roman"/>
          <w:sz w:val="24"/>
          <w:szCs w:val="24"/>
        </w:rPr>
        <w:t>招生计划。各学科最终招收人数可根据申请者实际考核情况和当年计划下达情况，由学院研究生招生工作领导小组研究作出适当调整。</w:t>
      </w:r>
    </w:p>
    <w:p>
      <w:pPr>
        <w:snapToGrid w:val="0"/>
        <w:spacing w:line="360" w:lineRule="auto"/>
        <w:rPr>
          <w:rFonts w:ascii="Times New Roman" w:hAnsi="Times New Roman" w:cs="Times New Roman"/>
          <w:b/>
          <w:sz w:val="24"/>
          <w:szCs w:val="24"/>
        </w:rPr>
      </w:pPr>
      <w:r>
        <w:rPr>
          <w:rFonts w:ascii="Times New Roman" w:hAnsi="Times New Roman" w:eastAsia="宋体" w:cs="Times New Roman"/>
          <w:sz w:val="24"/>
          <w:szCs w:val="24"/>
        </w:rPr>
        <w:t xml:space="preserve">   </w:t>
      </w:r>
      <w:r>
        <w:rPr>
          <w:rFonts w:ascii="Times New Roman" w:hAnsi="Times New Roman" w:cs="Times New Roman"/>
          <w:b/>
          <w:sz w:val="24"/>
          <w:szCs w:val="24"/>
        </w:rPr>
        <w:t xml:space="preserve"> </w:t>
      </w:r>
      <w:r>
        <w:rPr>
          <w:rFonts w:ascii="Times New Roman" w:cs="Times New Roman"/>
          <w:b/>
          <w:sz w:val="24"/>
          <w:szCs w:val="24"/>
        </w:rPr>
        <w:t>三、申请条件</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cs="Times New Roman"/>
          <w:sz w:val="24"/>
          <w:szCs w:val="24"/>
        </w:rPr>
        <w:t>（一）符合我校当年博士生招生简章中公开招考的报考条件。</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cs="Times New Roman"/>
          <w:sz w:val="24"/>
          <w:szCs w:val="24"/>
        </w:rPr>
        <w:t>（二）具有较强的科研创新能力，取得一定科研成果。或科研工作取得重大进展，由相同或相近学科</w:t>
      </w:r>
      <w:r>
        <w:rPr>
          <w:rFonts w:ascii="Times New Roman" w:hAnsi="Times New Roman" w:cs="Times New Roman"/>
          <w:sz w:val="24"/>
          <w:szCs w:val="24"/>
        </w:rPr>
        <w:t>3</w:t>
      </w:r>
      <w:r>
        <w:rPr>
          <w:rFonts w:ascii="Times New Roman" w:cs="Times New Roman"/>
          <w:sz w:val="24"/>
          <w:szCs w:val="24"/>
        </w:rPr>
        <w:t>名博士研究生指导教师推荐（每名博士研究生指导教师只能推荐</w:t>
      </w:r>
      <w:r>
        <w:rPr>
          <w:rFonts w:ascii="Times New Roman" w:hAnsi="Times New Roman" w:cs="Times New Roman"/>
          <w:sz w:val="24"/>
          <w:szCs w:val="24"/>
        </w:rPr>
        <w:t>1</w:t>
      </w:r>
      <w:r>
        <w:rPr>
          <w:rFonts w:ascii="Times New Roman" w:cs="Times New Roman"/>
          <w:sz w:val="24"/>
          <w:szCs w:val="24"/>
        </w:rPr>
        <w:t>名），亦可报名。</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cs="Times New Roman"/>
          <w:sz w:val="24"/>
          <w:szCs w:val="24"/>
        </w:rPr>
        <w:t>（三）具有较强的语言能力，近五年（</w:t>
      </w:r>
      <w:r>
        <w:rPr>
          <w:rFonts w:ascii="Times New Roman" w:hAnsi="Times New Roman" w:cs="Times New Roman"/>
          <w:sz w:val="24"/>
          <w:szCs w:val="24"/>
        </w:rPr>
        <w:t>201</w:t>
      </w:r>
      <w:r>
        <w:rPr>
          <w:rFonts w:hint="eastAsia" w:ascii="Times New Roman" w:hAnsi="Times New Roman" w:cs="Times New Roman"/>
          <w:sz w:val="24"/>
          <w:szCs w:val="24"/>
        </w:rPr>
        <w:t>6</w:t>
      </w:r>
      <w:r>
        <w:rPr>
          <w:rFonts w:ascii="Times New Roman" w:cs="Times New Roman"/>
          <w:sz w:val="24"/>
          <w:szCs w:val="24"/>
        </w:rPr>
        <w:t>年</w:t>
      </w:r>
      <w:r>
        <w:rPr>
          <w:rFonts w:ascii="Times New Roman" w:hAnsi="Times New Roman" w:cs="Times New Roman"/>
          <w:sz w:val="24"/>
          <w:szCs w:val="24"/>
        </w:rPr>
        <w:t>12</w:t>
      </w:r>
      <w:r>
        <w:rPr>
          <w:rFonts w:ascii="Times New Roman" w:cs="Times New Roman"/>
          <w:sz w:val="24"/>
          <w:szCs w:val="24"/>
        </w:rPr>
        <w:t>月至报名系统关闭）英语水平达到以下之一：</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cs="Times New Roman"/>
          <w:sz w:val="24"/>
          <w:szCs w:val="24"/>
        </w:rPr>
        <w:t>、</w:t>
      </w:r>
      <w:r>
        <w:rPr>
          <w:rFonts w:ascii="Times New Roman" w:hAnsi="Times New Roman" w:cs="Times New Roman"/>
          <w:sz w:val="24"/>
          <w:szCs w:val="24"/>
        </w:rPr>
        <w:t>CET-6≥426</w:t>
      </w:r>
      <w:r>
        <w:rPr>
          <w:rFonts w:ascii="Times New Roman" w:cs="Times New Roman"/>
          <w:sz w:val="24"/>
          <w:szCs w:val="24"/>
        </w:rPr>
        <w:t>或</w:t>
      </w:r>
      <w:r>
        <w:rPr>
          <w:rFonts w:ascii="Times New Roman" w:hAnsi="Times New Roman" w:cs="Times New Roman"/>
          <w:sz w:val="24"/>
          <w:szCs w:val="24"/>
        </w:rPr>
        <w:t>CET-4≥460</w:t>
      </w:r>
      <w:r>
        <w:rPr>
          <w:rFonts w:ascii="Times New Roman" w:cs="Times New Roman"/>
          <w:sz w:val="24"/>
          <w:szCs w:val="24"/>
        </w:rPr>
        <w:t>；</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cs="Times New Roman"/>
          <w:sz w:val="24"/>
          <w:szCs w:val="24"/>
        </w:rPr>
        <w:t>、</w:t>
      </w:r>
      <w:r>
        <w:rPr>
          <w:rFonts w:ascii="Times New Roman" w:hAnsi="Times New Roman" w:cs="Times New Roman"/>
          <w:sz w:val="24"/>
          <w:szCs w:val="24"/>
        </w:rPr>
        <w:t>WSK(PETS 5)</w:t>
      </w:r>
      <w:r>
        <w:rPr>
          <w:rFonts w:ascii="Times New Roman" w:cs="Times New Roman"/>
          <w:sz w:val="24"/>
          <w:szCs w:val="24"/>
        </w:rPr>
        <w:t>考试合格</w:t>
      </w:r>
      <w:r>
        <w:rPr>
          <w:rFonts w:ascii="Times New Roman" w:hAnsi="Times New Roman" w:cs="Times New Roman"/>
          <w:sz w:val="24"/>
          <w:szCs w:val="24"/>
        </w:rPr>
        <w:t>;</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3</w:t>
      </w:r>
      <w:r>
        <w:rPr>
          <w:rFonts w:ascii="Times New Roman" w:cs="Times New Roman"/>
          <w:sz w:val="24"/>
          <w:szCs w:val="24"/>
        </w:rPr>
        <w:t>、</w:t>
      </w:r>
      <w:r>
        <w:rPr>
          <w:rFonts w:ascii="Times New Roman" w:hAnsi="Times New Roman" w:cs="Times New Roman"/>
          <w:sz w:val="24"/>
          <w:szCs w:val="24"/>
        </w:rPr>
        <w:t>IELTS≥6.0;</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4</w:t>
      </w:r>
      <w:r>
        <w:rPr>
          <w:rFonts w:ascii="Times New Roman" w:cs="Times New Roman"/>
          <w:sz w:val="24"/>
          <w:szCs w:val="24"/>
        </w:rPr>
        <w:t>、</w:t>
      </w:r>
      <w:r>
        <w:rPr>
          <w:rFonts w:ascii="Times New Roman" w:hAnsi="Times New Roman" w:cs="Times New Roman"/>
          <w:sz w:val="24"/>
          <w:szCs w:val="24"/>
        </w:rPr>
        <w:t>TOEFL</w:t>
      </w:r>
      <w:r>
        <w:rPr>
          <w:rFonts w:ascii="Times New Roman" w:cs="Times New Roman"/>
          <w:sz w:val="24"/>
          <w:szCs w:val="24"/>
        </w:rPr>
        <w:t>成绩</w:t>
      </w:r>
      <w:r>
        <w:rPr>
          <w:rFonts w:ascii="Times New Roman" w:hAnsi="Times New Roman" w:cs="Times New Roman"/>
          <w:sz w:val="24"/>
          <w:szCs w:val="24"/>
        </w:rPr>
        <w:t>80</w:t>
      </w:r>
      <w:r>
        <w:rPr>
          <w:rFonts w:ascii="Times New Roman" w:cs="Times New Roman"/>
          <w:sz w:val="24"/>
          <w:szCs w:val="24"/>
        </w:rPr>
        <w:t>分及以上</w:t>
      </w:r>
      <w:r>
        <w:rPr>
          <w:rFonts w:ascii="Times New Roman" w:hAnsi="Times New Roman" w:cs="Times New Roman"/>
          <w:sz w:val="24"/>
          <w:szCs w:val="24"/>
        </w:rPr>
        <w:t>(IBT);</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5</w:t>
      </w:r>
      <w:r>
        <w:rPr>
          <w:rFonts w:ascii="Times New Roman" w:cs="Times New Roman"/>
          <w:sz w:val="24"/>
          <w:szCs w:val="24"/>
        </w:rPr>
        <w:t>、新</w:t>
      </w:r>
      <w:r>
        <w:rPr>
          <w:rFonts w:ascii="Times New Roman" w:hAnsi="Times New Roman" w:cs="Times New Roman"/>
          <w:sz w:val="24"/>
          <w:szCs w:val="24"/>
        </w:rPr>
        <w:t>GRE</w:t>
      </w:r>
      <w:r>
        <w:rPr>
          <w:rFonts w:ascii="Times New Roman" w:cs="Times New Roman"/>
          <w:sz w:val="24"/>
          <w:szCs w:val="24"/>
        </w:rPr>
        <w:t>成绩</w:t>
      </w:r>
      <w:r>
        <w:rPr>
          <w:rFonts w:ascii="Times New Roman" w:hAnsi="Times New Roman" w:cs="Times New Roman"/>
          <w:sz w:val="24"/>
          <w:szCs w:val="24"/>
        </w:rPr>
        <w:t>260</w:t>
      </w:r>
      <w:r>
        <w:rPr>
          <w:rFonts w:ascii="Times New Roman" w:cs="Times New Roman"/>
          <w:sz w:val="24"/>
          <w:szCs w:val="24"/>
        </w:rPr>
        <w:t>分及以上。</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6</w:t>
      </w:r>
      <w:r>
        <w:rPr>
          <w:rFonts w:ascii="Times New Roman" w:cs="Times New Roman"/>
          <w:sz w:val="24"/>
          <w:szCs w:val="24"/>
        </w:rPr>
        <w:t>、以第一作者身份在英文国际期刊</w:t>
      </w:r>
      <w:r>
        <w:rPr>
          <w:rFonts w:ascii="Times New Roman" w:hAnsi="Times New Roman" w:cs="Times New Roman"/>
          <w:sz w:val="24"/>
          <w:szCs w:val="24"/>
        </w:rPr>
        <w:t>(SCI)</w:t>
      </w:r>
      <w:r>
        <w:rPr>
          <w:rFonts w:ascii="Times New Roman" w:cs="Times New Roman"/>
          <w:sz w:val="24"/>
          <w:szCs w:val="24"/>
        </w:rPr>
        <w:t>上发表过专业学术论文；</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7</w:t>
      </w:r>
      <w:r>
        <w:rPr>
          <w:rFonts w:ascii="Times New Roman" w:cs="Times New Roman"/>
          <w:sz w:val="24"/>
          <w:szCs w:val="24"/>
        </w:rPr>
        <w:t>、在英语为母语的国家或地区获得硕士或博士学位</w:t>
      </w:r>
      <w:r>
        <w:rPr>
          <w:rFonts w:ascii="Times New Roman" w:hAnsi="Times New Roman" w:cs="Times New Roman"/>
          <w:sz w:val="24"/>
          <w:szCs w:val="24"/>
        </w:rPr>
        <w:t>;</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8</w:t>
      </w:r>
      <w:r>
        <w:rPr>
          <w:rFonts w:ascii="Times New Roman" w:cs="Times New Roman"/>
          <w:sz w:val="24"/>
          <w:szCs w:val="24"/>
        </w:rPr>
        <w:t>、本科至硕士连续在读的应届硕士毕业生，在读期间的四、六级英语成绩不受时间限制。</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cs="Times New Roman"/>
          <w:sz w:val="24"/>
          <w:szCs w:val="24"/>
        </w:rPr>
        <w:t>（四）原则上仅接受本学科毕业生（含应届）的申请，为鼓励学科交叉，培养复合型人才，可接受相关或相近学科考生的申请。</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cs="Times New Roman"/>
          <w:sz w:val="24"/>
          <w:szCs w:val="24"/>
        </w:rPr>
        <w:t>（五）满足各招生学科提出的申请条件。</w:t>
      </w:r>
    </w:p>
    <w:p>
      <w:pPr>
        <w:snapToGrid w:val="0"/>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cs="Times New Roman"/>
          <w:b/>
          <w:sz w:val="24"/>
          <w:szCs w:val="24"/>
        </w:rPr>
        <w:t>四、申请材料</w:t>
      </w:r>
    </w:p>
    <w:p>
      <w:pPr>
        <w:snapToGrid w:val="0"/>
        <w:spacing w:line="360" w:lineRule="auto"/>
        <w:rPr>
          <w:rFonts w:ascii="Times New Roman" w:cs="Times New Roman"/>
          <w:spacing w:val="-2"/>
          <w:sz w:val="24"/>
          <w:szCs w:val="24"/>
        </w:rPr>
      </w:pPr>
      <w:r>
        <w:rPr>
          <w:rFonts w:ascii="Times New Roman" w:hAnsi="Times New Roman" w:cs="Times New Roman"/>
          <w:sz w:val="24"/>
          <w:szCs w:val="24"/>
        </w:rPr>
        <w:t xml:space="preserve">   </w:t>
      </w:r>
      <w:r>
        <w:rPr>
          <w:rFonts w:hint="eastAsia" w:ascii="Times New Roman" w:cs="Times New Roman"/>
          <w:spacing w:val="-2"/>
          <w:sz w:val="24"/>
          <w:szCs w:val="24"/>
        </w:rPr>
        <w:t>（一）《山东农业大学2022年“申请-考核制”博士研究生申请表》，一式七份。</w:t>
      </w:r>
    </w:p>
    <w:p>
      <w:pPr>
        <w:snapToGrid w:val="0"/>
        <w:spacing w:line="360" w:lineRule="auto"/>
        <w:rPr>
          <w:rFonts w:ascii="Times New Roman" w:cs="Times New Roman"/>
          <w:sz w:val="24"/>
          <w:szCs w:val="24"/>
        </w:rPr>
      </w:pPr>
      <w:r>
        <w:rPr>
          <w:rFonts w:hint="eastAsia" w:ascii="Times New Roman" w:cs="Times New Roman"/>
          <w:sz w:val="24"/>
          <w:szCs w:val="24"/>
        </w:rPr>
        <w:t xml:space="preserve">   （二）本人有效身份证和学生证（往届生不提供学生证）原件及复印件。</w:t>
      </w:r>
    </w:p>
    <w:p>
      <w:pPr>
        <w:snapToGrid w:val="0"/>
        <w:spacing w:line="360" w:lineRule="auto"/>
        <w:rPr>
          <w:rFonts w:ascii="Times New Roman" w:cs="Times New Roman"/>
          <w:sz w:val="24"/>
          <w:szCs w:val="24"/>
        </w:rPr>
      </w:pPr>
      <w:r>
        <w:rPr>
          <w:rFonts w:hint="eastAsia" w:ascii="Times New Roman" w:cs="Times New Roman"/>
          <w:sz w:val="24"/>
          <w:szCs w:val="24"/>
        </w:rPr>
        <w:t xml:space="preserve">   （三）本科毕业证、学位证和研究生毕业证、学位证原件及复印件（应届毕业硕士生提交所在学校研究生管理部门出具的在校生证明，本校学生可不提供），教育部学历电子注册备案表（本科和硕士学历，学信网打印）；应届硕士生的硕士阶段学历学位材料可只提交硕士研究生学籍电子注册备案表（学信网打印）。在国外获得学位的须提供教育部留学服务中心出具的认证书复印件，在审核前尚未取得认证书的国外学位不予承认。</w:t>
      </w:r>
    </w:p>
    <w:p>
      <w:pPr>
        <w:snapToGrid w:val="0"/>
        <w:spacing w:line="360" w:lineRule="auto"/>
        <w:rPr>
          <w:rFonts w:ascii="Times New Roman" w:cs="Times New Roman"/>
          <w:sz w:val="24"/>
          <w:szCs w:val="24"/>
        </w:rPr>
      </w:pPr>
      <w:r>
        <w:rPr>
          <w:rFonts w:hint="eastAsia" w:ascii="Times New Roman" w:cs="Times New Roman"/>
          <w:sz w:val="24"/>
          <w:szCs w:val="24"/>
        </w:rPr>
        <w:t xml:space="preserve">   （四）英语水平证书或成绩单。</w:t>
      </w:r>
    </w:p>
    <w:p>
      <w:pPr>
        <w:snapToGrid w:val="0"/>
        <w:spacing w:line="360" w:lineRule="auto"/>
        <w:rPr>
          <w:rFonts w:ascii="Times New Roman" w:cs="Times New Roman"/>
          <w:sz w:val="24"/>
          <w:szCs w:val="24"/>
        </w:rPr>
      </w:pPr>
      <w:r>
        <w:rPr>
          <w:rFonts w:hint="eastAsia" w:ascii="Times New Roman" w:cs="Times New Roman"/>
          <w:sz w:val="24"/>
          <w:szCs w:val="24"/>
        </w:rPr>
        <w:t xml:space="preserve">   （五）研究生阶段成绩单。由申请者所在学校研究生培养部门提供，并加盖公章；非应届毕业生也可由申请者档案所在部门提供，并加盖公章。</w:t>
      </w:r>
    </w:p>
    <w:p>
      <w:pPr>
        <w:snapToGrid w:val="0"/>
        <w:spacing w:line="360" w:lineRule="auto"/>
        <w:rPr>
          <w:rFonts w:ascii="Times New Roman" w:cs="Times New Roman"/>
          <w:sz w:val="24"/>
          <w:szCs w:val="24"/>
        </w:rPr>
      </w:pPr>
      <w:r>
        <w:rPr>
          <w:rFonts w:hint="eastAsia" w:ascii="Times New Roman" w:cs="Times New Roman"/>
          <w:sz w:val="24"/>
          <w:szCs w:val="24"/>
        </w:rPr>
        <w:t xml:space="preserve">   （六）获奖证书、课题、发明专利、已发表（录用）论文等的原件或其它可以证明考生科研能力和水平的证明材料。</w:t>
      </w:r>
    </w:p>
    <w:p>
      <w:pPr>
        <w:snapToGrid w:val="0"/>
        <w:spacing w:line="360" w:lineRule="auto"/>
        <w:rPr>
          <w:rFonts w:ascii="Times New Roman" w:cs="Times New Roman"/>
          <w:sz w:val="24"/>
          <w:szCs w:val="24"/>
        </w:rPr>
      </w:pPr>
      <w:r>
        <w:rPr>
          <w:rFonts w:hint="eastAsia" w:ascii="Times New Roman" w:cs="Times New Roman"/>
          <w:sz w:val="24"/>
          <w:szCs w:val="24"/>
        </w:rPr>
        <w:t xml:space="preserve">   （七）往届生提供硕士学位论文全文（含答辩情况表和答辩决议书复印件）；应届毕业硕士生可提供论文开题报告、论文摘要和核心研究内容等。</w:t>
      </w:r>
    </w:p>
    <w:p>
      <w:pPr>
        <w:snapToGrid w:val="0"/>
        <w:spacing w:line="360" w:lineRule="auto"/>
        <w:rPr>
          <w:rFonts w:ascii="Times New Roman" w:cs="Times New Roman"/>
          <w:sz w:val="24"/>
          <w:szCs w:val="24"/>
        </w:rPr>
      </w:pPr>
      <w:r>
        <w:rPr>
          <w:rFonts w:hint="eastAsia" w:ascii="Times New Roman" w:cs="Times New Roman"/>
          <w:sz w:val="24"/>
          <w:szCs w:val="24"/>
        </w:rPr>
        <w:t xml:space="preserve">   （八）个人陈述书（3000-5000字）：内容包括学习及学术研究的简要经历、经验、能力、特别成就及其他原创性研究成果、攻读博士学位期间本人拟从事的研究方向和科研设想。</w:t>
      </w:r>
    </w:p>
    <w:p>
      <w:pPr>
        <w:snapToGrid w:val="0"/>
        <w:spacing w:line="360" w:lineRule="auto"/>
        <w:rPr>
          <w:rFonts w:ascii="Times New Roman" w:cs="Times New Roman"/>
          <w:spacing w:val="-2"/>
          <w:sz w:val="24"/>
          <w:szCs w:val="24"/>
        </w:rPr>
      </w:pPr>
      <w:r>
        <w:rPr>
          <w:rFonts w:hint="eastAsia" w:ascii="Times New Roman" w:cs="Times New Roman"/>
          <w:sz w:val="24"/>
          <w:szCs w:val="24"/>
        </w:rPr>
        <w:t xml:space="preserve">   （九）下载并</w:t>
      </w:r>
      <w:r>
        <w:rPr>
          <w:rFonts w:hint="eastAsia" w:ascii="Times New Roman" w:cs="Times New Roman"/>
          <w:spacing w:val="-2"/>
          <w:sz w:val="24"/>
          <w:szCs w:val="24"/>
        </w:rPr>
        <w:t>填写《山东农业大学报考攻读2022年博士学位研究生思想政治品德考核表》，未就业人员加盖档案保管单位公章，应届生加盖所在学院党委公章。</w:t>
      </w:r>
    </w:p>
    <w:p>
      <w:pPr>
        <w:snapToGrid w:val="0"/>
        <w:spacing w:line="360" w:lineRule="auto"/>
        <w:rPr>
          <w:rFonts w:ascii="Times New Roman" w:cs="Times New Roman"/>
          <w:sz w:val="24"/>
          <w:szCs w:val="24"/>
        </w:rPr>
      </w:pPr>
      <w:r>
        <w:rPr>
          <w:rFonts w:hint="eastAsia" w:ascii="Times New Roman" w:cs="Times New Roman"/>
          <w:sz w:val="24"/>
          <w:szCs w:val="24"/>
        </w:rPr>
        <w:t xml:space="preserve">   （十）专家推荐信</w:t>
      </w:r>
    </w:p>
    <w:p>
      <w:pPr>
        <w:snapToGrid w:val="0"/>
        <w:spacing w:line="360" w:lineRule="auto"/>
        <w:rPr>
          <w:rFonts w:hint="eastAsia" w:ascii="Times New Roman" w:cs="Times New Roman"/>
          <w:sz w:val="24"/>
          <w:szCs w:val="24"/>
        </w:rPr>
      </w:pPr>
      <w:r>
        <w:rPr>
          <w:rFonts w:hint="eastAsia" w:ascii="Times New Roman" w:cs="Times New Roman"/>
          <w:sz w:val="24"/>
          <w:szCs w:val="24"/>
        </w:rPr>
        <w:t xml:space="preserve">    1、取得一定科研成果的考生，提供2名所报考学科专业领域内教授（或相当于教授)及以上职称专家推荐书，其中一封必须为报考导师出具的推荐书。</w:t>
      </w:r>
    </w:p>
    <w:p>
      <w:pPr>
        <w:snapToGrid w:val="0"/>
        <w:spacing w:line="360" w:lineRule="auto"/>
        <w:rPr>
          <w:rFonts w:hint="eastAsia" w:ascii="Times New Roman" w:cs="Times New Roman"/>
          <w:sz w:val="24"/>
          <w:szCs w:val="24"/>
        </w:rPr>
      </w:pPr>
      <w:r>
        <w:rPr>
          <w:rFonts w:hint="eastAsia" w:ascii="Times New Roman" w:cs="Times New Roman"/>
          <w:sz w:val="24"/>
          <w:szCs w:val="24"/>
        </w:rPr>
        <w:t xml:space="preserve">    2、科研工作取得重大进展为条件报名的考生，需要提供相同或相近学科3名博士研究生指导教师推荐信，其中一封必须为报考导师出具的推荐书。</w:t>
      </w:r>
    </w:p>
    <w:p>
      <w:pPr>
        <w:snapToGrid w:val="0"/>
        <w:spacing w:line="360" w:lineRule="auto"/>
        <w:rPr>
          <w:rFonts w:ascii="Times New Roman" w:cs="Times New Roman"/>
          <w:sz w:val="24"/>
          <w:szCs w:val="24"/>
        </w:rPr>
      </w:pPr>
      <w:r>
        <w:rPr>
          <w:rFonts w:hint="eastAsia" w:ascii="Times New Roman" w:cs="Times New Roman"/>
          <w:sz w:val="24"/>
          <w:szCs w:val="24"/>
        </w:rPr>
        <w:t xml:space="preserve">   （十一）二级甲等及以上医院出具的体检合格证明（近三个月）。</w:t>
      </w:r>
    </w:p>
    <w:p>
      <w:pPr>
        <w:snapToGrid w:val="0"/>
        <w:spacing w:line="360" w:lineRule="auto"/>
        <w:rPr>
          <w:rFonts w:ascii="Times New Roman" w:hAnsi="Times New Roman" w:cs="Times New Roman"/>
          <w:sz w:val="24"/>
          <w:szCs w:val="24"/>
        </w:rPr>
      </w:pPr>
      <w:r>
        <w:rPr>
          <w:rFonts w:hint="eastAsia" w:ascii="Times New Roman" w:cs="Times New Roman"/>
          <w:sz w:val="24"/>
          <w:szCs w:val="24"/>
        </w:rPr>
        <w:t xml:space="preserve">    申请人应仔细核对本人是否符合申请条件，如实提供上述所列申请材料。如发现申请人提交虚假材料、作弊及其它违纪行为，将根据学校规定严肃处理，包括取消录取资格、3年内禁止报考等，相关后果由申请人承担。</w:t>
      </w:r>
    </w:p>
    <w:p>
      <w:pPr>
        <w:snapToGrid w:val="0"/>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cs="Times New Roman"/>
          <w:b/>
          <w:sz w:val="24"/>
          <w:szCs w:val="24"/>
        </w:rPr>
        <w:t>五、审核程序</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cs="Times New Roman"/>
          <w:sz w:val="24"/>
          <w:szCs w:val="24"/>
        </w:rPr>
        <w:t>（一）报名</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cs="Times New Roman"/>
          <w:sz w:val="24"/>
          <w:szCs w:val="24"/>
        </w:rPr>
        <w:t>符合条件的考生登录山东农业大学招生管理系统，填报相关信息，考试方式选择（99-申请考核），同时按文件要求提交材料，并交费220元。请考生做好自查，务必符合报考条件，因导师未同意报考或者材料不符合要求而未通过的，报名费不予退回。</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cs="Times New Roman"/>
          <w:sz w:val="24"/>
          <w:szCs w:val="24"/>
        </w:rPr>
        <w:t>（二）材料初审</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导师结合本学科专业的培养要求和申请人的申请材料，审查同意后向学院招生工作领导小组推荐考核名单，学院招生工作领导小组在审核申请人材料的基础上按一定比例（按不超过招生人数1：3的比例）拟定考核名单，</w:t>
      </w:r>
      <w:r>
        <w:rPr>
          <w:rFonts w:hint="eastAsia" w:ascii="Times New Roman" w:hAnsi="Times New Roman" w:cs="Times New Roman"/>
          <w:sz w:val="24"/>
          <w:szCs w:val="24"/>
          <w:lang w:val="en-US" w:eastAsia="zh-CN"/>
        </w:rPr>
        <w:t>同时名单报研招办审核，审核通过的</w:t>
      </w:r>
      <w:bookmarkStart w:id="0" w:name="_GoBack"/>
      <w:bookmarkEnd w:id="0"/>
      <w:r>
        <w:rPr>
          <w:rFonts w:hint="eastAsia" w:ascii="Times New Roman" w:hAnsi="Times New Roman" w:cs="Times New Roman"/>
          <w:sz w:val="24"/>
          <w:szCs w:val="24"/>
        </w:rPr>
        <w:t>考核名单在学院网页上进行公布。学院根据学科情况明确材料审核办法和程序、审核通过标准和评分细则。</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（三）材料复审及考核</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学科考核工作小组负责对申请人申请材料进行综合评定，采取面试方式对申请者进行英语水平、专业能力及综合素质考核。</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1、考核内容</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（1）英语水平考核</w:t>
      </w:r>
      <w:r>
        <w:rPr>
          <w:rFonts w:ascii="Times New Roman" w:hAnsi="Times New Roman" w:cs="Times New Roman" w:eastAsiaTheme="majorEastAsia"/>
          <w:kern w:val="0"/>
          <w:sz w:val="24"/>
          <w:szCs w:val="24"/>
        </w:rPr>
        <w:t>（满分100 分，</w:t>
      </w:r>
      <w:r>
        <w:rPr>
          <w:rFonts w:ascii="Times New Roman" w:hAnsi="Times New Roman" w:cs="Times New Roman"/>
          <w:sz w:val="24"/>
          <w:szCs w:val="24"/>
        </w:rPr>
        <w:t>低于60分不予录取</w:t>
      </w:r>
      <w:r>
        <w:rPr>
          <w:rFonts w:ascii="Times New Roman" w:hAnsi="Times New Roman" w:cs="Times New Roman" w:eastAsiaTheme="majorEastAsia"/>
          <w:kern w:val="0"/>
          <w:sz w:val="24"/>
          <w:szCs w:val="24"/>
        </w:rPr>
        <w:t>）</w:t>
      </w:r>
      <w:r>
        <w:rPr>
          <w:rFonts w:ascii="Times New Roman" w:hAnsi="Times New Roman" w:cs="Times New Roman"/>
          <w:sz w:val="24"/>
          <w:szCs w:val="24"/>
        </w:rPr>
        <w:t>：</w:t>
      </w:r>
      <w:r>
        <w:rPr>
          <w:rFonts w:hint="eastAsia" w:ascii="Times New Roman" w:hAnsi="Times New Roman" w:cs="Times New Roman"/>
          <w:sz w:val="24"/>
          <w:szCs w:val="24"/>
        </w:rPr>
        <w:t>主要考核申请者外语水平及专业外语掌握及使用能力</w:t>
      </w:r>
      <w:r>
        <w:rPr>
          <w:rFonts w:ascii="Times New Roman" w:hAnsi="Times New Roman" w:cs="Times New Roman"/>
          <w:sz w:val="24"/>
          <w:szCs w:val="24"/>
        </w:rPr>
        <w:t>。</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（2）专业能力考核</w:t>
      </w:r>
      <w:r>
        <w:rPr>
          <w:rFonts w:ascii="Times New Roman" w:hAnsi="Times New Roman" w:cs="Times New Roman" w:eastAsiaTheme="majorEastAsia"/>
          <w:kern w:val="0"/>
          <w:sz w:val="24"/>
          <w:szCs w:val="24"/>
        </w:rPr>
        <w:t>（满分100 分，</w:t>
      </w:r>
      <w:r>
        <w:rPr>
          <w:rFonts w:ascii="Times New Roman" w:hAnsi="Times New Roman" w:cs="Times New Roman"/>
          <w:sz w:val="24"/>
          <w:szCs w:val="24"/>
        </w:rPr>
        <w:t>低于60分不予录取</w:t>
      </w:r>
      <w:r>
        <w:rPr>
          <w:rFonts w:ascii="Times New Roman" w:hAnsi="Times New Roman" w:cs="Times New Roman" w:eastAsiaTheme="majorEastAsia"/>
          <w:kern w:val="0"/>
          <w:sz w:val="24"/>
          <w:szCs w:val="24"/>
        </w:rPr>
        <w:t>）</w:t>
      </w:r>
      <w:r>
        <w:rPr>
          <w:rFonts w:ascii="Times New Roman" w:hAnsi="Times New Roman" w:cs="Times New Roman"/>
          <w:sz w:val="24"/>
          <w:szCs w:val="24"/>
        </w:rPr>
        <w:t>：</w:t>
      </w:r>
      <w:r>
        <w:rPr>
          <w:rFonts w:hint="eastAsia" w:ascii="Times New Roman" w:hAnsi="Times New Roman" w:cs="Times New Roman"/>
          <w:sz w:val="24"/>
          <w:szCs w:val="24"/>
        </w:rPr>
        <w:t>主要</w:t>
      </w:r>
      <w:r>
        <w:rPr>
          <w:rFonts w:ascii="Times New Roman" w:hAnsi="Times New Roman" w:cs="Times New Roman"/>
          <w:sz w:val="24"/>
          <w:szCs w:val="24"/>
        </w:rPr>
        <w:t>考核申请人</w:t>
      </w:r>
      <w:r>
        <w:rPr>
          <w:rFonts w:hint="eastAsia" w:ascii="Times New Roman" w:hAnsi="Times New Roman" w:cs="Times New Roman"/>
          <w:sz w:val="24"/>
          <w:szCs w:val="24"/>
        </w:rPr>
        <w:t>对本学科前沿知识及最新研究动态掌握情况、综合运用所学知识能力、科研能力、培养潜质及是否具有创新精神和创造能力等</w:t>
      </w:r>
      <w:r>
        <w:rPr>
          <w:rFonts w:ascii="Times New Roman" w:hAnsi="Times New Roman" w:cs="Times New Roman"/>
          <w:sz w:val="24"/>
          <w:szCs w:val="24"/>
        </w:rPr>
        <w:t>，考核内容包含本专业招生目录中公布的笔试科目。</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（3）综合素质考核</w:t>
      </w:r>
      <w:r>
        <w:rPr>
          <w:rFonts w:ascii="Times New Roman" w:hAnsi="Times New Roman" w:cs="Times New Roman" w:eastAsiaTheme="majorEastAsia"/>
          <w:kern w:val="0"/>
          <w:sz w:val="24"/>
          <w:szCs w:val="24"/>
        </w:rPr>
        <w:t>（满分100 分，</w:t>
      </w:r>
      <w:r>
        <w:rPr>
          <w:rFonts w:ascii="Times New Roman" w:hAnsi="Times New Roman" w:cs="Times New Roman"/>
          <w:sz w:val="24"/>
          <w:szCs w:val="24"/>
        </w:rPr>
        <w:t>低于60分不予录取</w:t>
      </w:r>
      <w:r>
        <w:rPr>
          <w:rFonts w:ascii="Times New Roman" w:hAnsi="Times New Roman" w:cs="Times New Roman" w:eastAsiaTheme="majorEastAsia"/>
          <w:kern w:val="0"/>
          <w:sz w:val="24"/>
          <w:szCs w:val="24"/>
        </w:rPr>
        <w:t>）</w:t>
      </w:r>
      <w:r>
        <w:rPr>
          <w:rFonts w:ascii="Times New Roman" w:hAnsi="Times New Roman" w:cs="Times New Roman"/>
          <w:sz w:val="24"/>
          <w:szCs w:val="24"/>
        </w:rPr>
        <w:t>：</w:t>
      </w:r>
      <w:r>
        <w:rPr>
          <w:rFonts w:hint="eastAsia" w:ascii="Times New Roman" w:hAnsi="Times New Roman" w:cs="Times New Roman"/>
          <w:sz w:val="24"/>
          <w:szCs w:val="24"/>
        </w:rPr>
        <w:t>主要考核申请者近五年内已取得的科研成果情况；审阅申请者攻读博士学位期间的科研计划书；考查申请者科研思维、分析解决科研问题能力及独立开展科学研究等培养潜质情况，还应包括申请者思想政治表现、学习（工作）态度、学术道德、专业伦理、诚实守信、语言表达和礼仪以及心理状况等方面。</w:t>
      </w:r>
    </w:p>
    <w:p>
      <w:pPr>
        <w:snapToGrid w:val="0"/>
        <w:spacing w:line="360" w:lineRule="auto"/>
        <w:rPr>
          <w:rFonts w:ascii="Times New Roman" w:hAnsi="Times New Roman" w:cs="Times New Roman"/>
          <w:sz w:val="24"/>
          <w:szCs w:val="24"/>
        </w:rPr>
      </w:pPr>
      <w:r>
        <w:rPr>
          <w:rFonts w:hint="eastAsia" w:ascii="Times New Roman" w:hAnsi="Times New Roman" w:cs="Times New Roman"/>
          <w:sz w:val="24"/>
          <w:szCs w:val="24"/>
        </w:rPr>
        <w:t xml:space="preserve">    2、考核</w:t>
      </w:r>
      <w:r>
        <w:rPr>
          <w:rFonts w:ascii="Times New Roman" w:hAnsi="Times New Roman" w:cs="Times New Roman"/>
          <w:sz w:val="24"/>
          <w:szCs w:val="24"/>
        </w:rPr>
        <w:t>方式</w:t>
      </w:r>
    </w:p>
    <w:p>
      <w:pPr>
        <w:snapToGrid w:val="0"/>
        <w:spacing w:line="360" w:lineRule="auto"/>
        <w:rPr>
          <w:rFonts w:ascii="Times New Roman" w:hAnsi="Times New Roman" w:cs="Times New Roman"/>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由学科考核小组成员根据申请人表现独立打分，去掉一个最高分、去掉一个最低分、然后求平均分。每位申请人面试时间不少于</w:t>
      </w:r>
      <w:r>
        <w:rPr>
          <w:rFonts w:hint="eastAsia" w:ascii="Times New Roman" w:hAnsi="Times New Roman" w:cs="Times New Roman"/>
          <w:sz w:val="24"/>
          <w:szCs w:val="24"/>
        </w:rPr>
        <w:t>30</w:t>
      </w:r>
      <w:r>
        <w:rPr>
          <w:rFonts w:ascii="Times New Roman" w:hAnsi="Times New Roman" w:cs="Times New Roman"/>
          <w:sz w:val="24"/>
          <w:szCs w:val="24"/>
        </w:rPr>
        <w:t>分钟。</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①申请者介绍基本情况1</w:t>
      </w:r>
      <w:r>
        <w:rPr>
          <w:rFonts w:hint="eastAsia" w:ascii="Times New Roman" w:hAnsi="Times New Roman" w:cs="Times New Roman"/>
          <w:sz w:val="24"/>
          <w:szCs w:val="24"/>
        </w:rPr>
        <w:t>0</w:t>
      </w:r>
      <w:r>
        <w:rPr>
          <w:rFonts w:ascii="Times New Roman" w:hAnsi="Times New Roman" w:cs="Times New Roman"/>
          <w:sz w:val="24"/>
          <w:szCs w:val="24"/>
        </w:rPr>
        <w:t>分钟（采用PPT 形式），内容包括个人简历(学习和工作经历)、硕士论文研究情况</w:t>
      </w:r>
      <w:r>
        <w:rPr>
          <w:rFonts w:hint="eastAsia" w:ascii="Times New Roman" w:hAnsi="Times New Roman" w:cs="Times New Roman"/>
          <w:sz w:val="24"/>
          <w:szCs w:val="24"/>
        </w:rPr>
        <w:t>（含</w:t>
      </w:r>
      <w:r>
        <w:rPr>
          <w:rFonts w:ascii="Times New Roman" w:hAnsi="Times New Roman" w:cs="Times New Roman"/>
          <w:sz w:val="24"/>
          <w:szCs w:val="24"/>
        </w:rPr>
        <w:t>取得的科研成果情况</w:t>
      </w:r>
      <w:r>
        <w:rPr>
          <w:rFonts w:hint="eastAsia" w:ascii="Times New Roman" w:hAnsi="Times New Roman" w:cs="Times New Roman"/>
          <w:sz w:val="24"/>
          <w:szCs w:val="24"/>
        </w:rPr>
        <w:t>）</w:t>
      </w:r>
      <w:r>
        <w:rPr>
          <w:rFonts w:ascii="Times New Roman" w:hAnsi="Times New Roman" w:cs="Times New Roman"/>
          <w:sz w:val="24"/>
          <w:szCs w:val="24"/>
        </w:rPr>
        <w:t>、攻读博士学位期间的科研计划。往届报考者还须说明工作单位、工作内容、工作后的科研情况及成果等。</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②考核小组面试</w:t>
      </w:r>
      <w:r>
        <w:rPr>
          <w:rFonts w:hint="eastAsia" w:ascii="Times New Roman" w:hAnsi="Times New Roman" w:cs="Times New Roman"/>
          <w:sz w:val="24"/>
          <w:szCs w:val="24"/>
        </w:rPr>
        <w:t>2</w:t>
      </w:r>
      <w:r>
        <w:rPr>
          <w:rFonts w:ascii="Times New Roman" w:hAnsi="Times New Roman" w:cs="Times New Roman"/>
          <w:sz w:val="24"/>
          <w:szCs w:val="24"/>
        </w:rPr>
        <w:t>0分钟，</w:t>
      </w:r>
      <w:r>
        <w:rPr>
          <w:rFonts w:hint="eastAsia" w:ascii="Times New Roman" w:hAnsi="Times New Roman" w:cs="Times New Roman"/>
          <w:sz w:val="24"/>
          <w:szCs w:val="24"/>
        </w:rPr>
        <w:t>针对英语水平、专业能力、综合素质三方面考核内容开展</w:t>
      </w:r>
      <w:r>
        <w:rPr>
          <w:rFonts w:ascii="Times New Roman" w:hAnsi="Times New Roman" w:cs="Times New Roman"/>
          <w:sz w:val="24"/>
          <w:szCs w:val="24"/>
        </w:rPr>
        <w:t>。</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2、考核总成绩计算办法</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考核总成绩=英语水平×20%+专业能力考核×60%+综合素质考核×20%</w:t>
      </w:r>
    </w:p>
    <w:p>
      <w:pPr>
        <w:snapToGrid w:val="0"/>
        <w:spacing w:line="360" w:lineRule="auto"/>
        <w:rPr>
          <w:rFonts w:ascii="Times New Roman" w:hAnsi="Times New Roman" w:cs="Times New Roman"/>
          <w:b/>
          <w:sz w:val="24"/>
          <w:szCs w:val="24"/>
        </w:rPr>
      </w:pPr>
      <w:r>
        <w:rPr>
          <w:rFonts w:ascii="Times New Roman" w:hAnsi="Times New Roman" w:cs="Times New Roman"/>
          <w:b/>
          <w:sz w:val="24"/>
          <w:szCs w:val="24"/>
        </w:rPr>
        <w:t xml:space="preserve">    六、</w:t>
      </w:r>
      <w:r>
        <w:rPr>
          <w:rFonts w:hint="eastAsia" w:ascii="Times New Roman" w:hAnsi="Times New Roman" w:cs="Times New Roman"/>
          <w:b/>
          <w:sz w:val="24"/>
          <w:szCs w:val="24"/>
        </w:rPr>
        <w:t>时间安排</w:t>
      </w:r>
    </w:p>
    <w:p>
      <w:pPr>
        <w:snapToGrid w:val="0"/>
        <w:spacing w:line="360" w:lineRule="auto"/>
        <w:rPr>
          <w:rFonts w:ascii="Times New Roman" w:hAnsi="Times New Roman" w:cs="Times New Roman"/>
          <w:b/>
          <w:sz w:val="24"/>
          <w:szCs w:val="24"/>
        </w:rPr>
      </w:pPr>
      <w:r>
        <w:rPr>
          <w:rFonts w:hint="eastAsia" w:ascii="Times New Roman" w:hAnsi="Times New Roman" w:cs="Times New Roman"/>
          <w:b/>
          <w:sz w:val="24"/>
          <w:szCs w:val="24"/>
        </w:rPr>
        <w:t xml:space="preserve">    </w:t>
      </w:r>
      <w:r>
        <w:rPr>
          <w:rFonts w:hint="eastAsia" w:ascii="Times New Roman" w:hAnsi="Times New Roman" w:cs="Times New Roman"/>
          <w:sz w:val="24"/>
          <w:szCs w:val="24"/>
        </w:rPr>
        <w:t>按照学校公布的时间进行。</w:t>
      </w:r>
    </w:p>
    <w:p>
      <w:pPr>
        <w:snapToGrid w:val="0"/>
        <w:spacing w:line="360" w:lineRule="auto"/>
        <w:rPr>
          <w:rFonts w:ascii="Times New Roman" w:hAnsi="Times New Roman" w:cs="Times New Roman"/>
          <w:sz w:val="24"/>
          <w:szCs w:val="24"/>
        </w:rPr>
      </w:pPr>
      <w:r>
        <w:rPr>
          <w:rFonts w:hint="eastAsia" w:ascii="Times New Roman" w:hAnsi="Times New Roman" w:cs="Times New Roman"/>
          <w:b/>
          <w:sz w:val="24"/>
          <w:szCs w:val="24"/>
        </w:rPr>
        <w:t xml:space="preserve">    七</w:t>
      </w:r>
      <w:r>
        <w:rPr>
          <w:rFonts w:ascii="Times New Roman" w:hAnsi="Times New Roman" w:cs="Times New Roman"/>
          <w:b/>
          <w:sz w:val="24"/>
          <w:szCs w:val="24"/>
        </w:rPr>
        <w:t>、录取</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（一）录取时以报考导师为单位，按考核成绩由高到低排序，低于 60 分者不予录取。</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（二）学院招生工作小组根据招生计划</w:t>
      </w:r>
      <w:r>
        <w:rPr>
          <w:rFonts w:hint="eastAsia" w:ascii="Times New Roman" w:hAnsi="Times New Roman" w:cs="Times New Roman"/>
          <w:sz w:val="24"/>
          <w:szCs w:val="24"/>
        </w:rPr>
        <w:t>、导师招生资格</w:t>
      </w:r>
      <w:r>
        <w:rPr>
          <w:rFonts w:ascii="Times New Roman" w:hAnsi="Times New Roman" w:cs="Times New Roman"/>
          <w:sz w:val="24"/>
          <w:szCs w:val="24"/>
        </w:rPr>
        <w:t>和</w:t>
      </w:r>
      <w:r>
        <w:rPr>
          <w:rFonts w:hint="eastAsia" w:ascii="Times New Roman" w:hAnsi="Times New Roman" w:cs="Times New Roman"/>
          <w:sz w:val="24"/>
          <w:szCs w:val="24"/>
        </w:rPr>
        <w:t>申请者</w:t>
      </w:r>
      <w:r>
        <w:rPr>
          <w:rFonts w:ascii="Times New Roman" w:hAnsi="Times New Roman" w:cs="Times New Roman"/>
          <w:sz w:val="24"/>
          <w:szCs w:val="24"/>
        </w:rPr>
        <w:t>考核成绩确定拟录取名单，并报研究生招生办公室审核。</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三）研究生招生办公室审核汇总后报学校研究生招生工作小组审定，并对审定后的名单进行公示，公示无异议并报教育部审核通过后，确定录取资格。未经学校研究生招生工作小组审定的名单，导师和学院不得向申请人承诺录取。</w:t>
      </w:r>
    </w:p>
    <w:p>
      <w:pPr>
        <w:snapToGrid w:val="0"/>
        <w:spacing w:line="360" w:lineRule="auto"/>
        <w:rPr>
          <w:rFonts w:ascii="Times New Roman" w:hAnsi="Times New Roman" w:cs="Times New Roman"/>
          <w:sz w:val="24"/>
          <w:szCs w:val="24"/>
        </w:rPr>
      </w:pPr>
      <w:r>
        <w:rPr>
          <w:rFonts w:hint="eastAsia" w:ascii="Times New Roman" w:hAnsi="Times New Roman" w:cs="Times New Roman"/>
          <w:sz w:val="24"/>
          <w:szCs w:val="24"/>
        </w:rPr>
        <w:t xml:space="preserve">   （四）以“申请-考核”方式录取的博士研究生录取方式为全日制非定向，攻读博士学位期间不得随意变更专业和导师。考生须在规定时间内将本人人事档案、工资关系转入我校。对不能按学校要求在规定时间内将档案、工资关系转入我校的，将取消拟录取资格。</w:t>
      </w:r>
    </w:p>
    <w:p>
      <w:pPr>
        <w:snapToGrid w:val="0"/>
        <w:spacing w:line="360" w:lineRule="auto"/>
        <w:rPr>
          <w:rFonts w:ascii="Times New Roman" w:hAnsi="Times New Roman" w:cs="Times New Roman"/>
          <w:sz w:val="24"/>
          <w:szCs w:val="24"/>
        </w:rPr>
      </w:pPr>
      <w:r>
        <w:rPr>
          <w:rFonts w:hint="eastAsia" w:ascii="Times New Roman" w:hAnsi="Times New Roman" w:cs="Times New Roman"/>
          <w:sz w:val="24"/>
          <w:szCs w:val="24"/>
        </w:rPr>
        <w:t xml:space="preserve">   （五）通过“申请-考核制”选拔的博士研究生学习年限、毕业就业、缴纳学费政策及奖、助学金政策与其他全日制博士研究生相同。</w:t>
      </w:r>
    </w:p>
    <w:p>
      <w:pPr>
        <w:snapToGrid w:val="0"/>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hint="eastAsia" w:ascii="Times New Roman" w:hAnsi="Times New Roman" w:cs="Times New Roman"/>
          <w:b/>
          <w:sz w:val="24"/>
          <w:szCs w:val="24"/>
        </w:rPr>
        <w:t>八</w:t>
      </w:r>
      <w:r>
        <w:rPr>
          <w:rFonts w:ascii="Times New Roman" w:hAnsi="Times New Roman" w:cs="Times New Roman"/>
          <w:b/>
          <w:sz w:val="24"/>
          <w:szCs w:val="24"/>
        </w:rPr>
        <w:t>、</w:t>
      </w:r>
      <w:r>
        <w:rPr>
          <w:rFonts w:hint="eastAsia" w:ascii="Times New Roman" w:hAnsi="Times New Roman" w:cs="Times New Roman"/>
          <w:b/>
          <w:sz w:val="24"/>
          <w:szCs w:val="24"/>
        </w:rPr>
        <w:t>其他</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一）实施“申请-考核”制招收博士研究生过程中产生的重要材料都要归档备查。考核工作要全程录音录像，规范设计制作所需表格等材料，填写规范清晰，归档有序整洁，方便调阅。申请考核工作中所使用的考试试题在启封至使用完毕前按保密事项管理。</w:t>
      </w:r>
    </w:p>
    <w:p>
      <w:pPr>
        <w:snapToGrid w:val="0"/>
        <w:spacing w:line="360" w:lineRule="auto"/>
        <w:rPr>
          <w:rFonts w:ascii="Times New Roman" w:hAnsi="Times New Roman" w:cs="Times New Roman"/>
          <w:b/>
          <w:sz w:val="24"/>
          <w:szCs w:val="24"/>
        </w:rPr>
      </w:pPr>
      <w:r>
        <w:rPr>
          <w:rFonts w:hint="eastAsia" w:ascii="Times New Roman" w:hAnsi="Times New Roman" w:cs="Times New Roman"/>
          <w:sz w:val="24"/>
          <w:szCs w:val="24"/>
        </w:rPr>
        <w:t xml:space="preserve">   （二）本方案未涉及到的其他事项，经学院“申请-考核制”博士研究生招生工作领导小组集体研究后决定。</w:t>
      </w:r>
      <w:r>
        <w:rPr>
          <w:rFonts w:ascii="Times New Roman" w:hAnsi="Times New Roman" w:cs="Times New Roman"/>
          <w:b/>
          <w:sz w:val="24"/>
          <w:szCs w:val="24"/>
        </w:rPr>
        <w:t xml:space="preserve">    </w:t>
      </w:r>
    </w:p>
    <w:p>
      <w:pPr>
        <w:snapToGrid w:val="0"/>
        <w:spacing w:line="360" w:lineRule="auto"/>
        <w:rPr>
          <w:rFonts w:ascii="Times New Roman" w:hAnsi="Times New Roman" w:cs="Times New Roman"/>
          <w:b/>
          <w:sz w:val="24"/>
          <w:szCs w:val="24"/>
        </w:rPr>
      </w:pPr>
    </w:p>
    <w:p>
      <w:pPr>
        <w:snapToGrid w:val="0"/>
        <w:spacing w:line="360" w:lineRule="auto"/>
        <w:rPr>
          <w:rFonts w:ascii="Times New Roman" w:hAnsi="Times New Roman" w:cs="Times New Roman"/>
          <w:b/>
          <w:sz w:val="24"/>
          <w:szCs w:val="24"/>
        </w:rPr>
      </w:pPr>
    </w:p>
    <w:p>
      <w:pPr>
        <w:snapToGrid w:val="0"/>
        <w:spacing w:line="360" w:lineRule="auto"/>
        <w:rPr>
          <w:rFonts w:ascii="Times New Roman" w:hAnsi="Times New Roman" w:cs="Times New Roman"/>
          <w:b/>
          <w:sz w:val="24"/>
          <w:szCs w:val="24"/>
        </w:rPr>
      </w:pPr>
    </w:p>
    <w:p>
      <w:pPr>
        <w:snapToGrid w:val="0"/>
        <w:spacing w:line="360" w:lineRule="auto"/>
        <w:rPr>
          <w:rFonts w:ascii="Times New Roman" w:hAnsi="Times New Roman" w:cs="Times New Roman"/>
          <w:b/>
          <w:sz w:val="24"/>
          <w:szCs w:val="24"/>
        </w:rPr>
      </w:pPr>
    </w:p>
    <w:p>
      <w:pPr>
        <w:snapToGrid w:val="0"/>
        <w:spacing w:line="360" w:lineRule="auto"/>
        <w:rPr>
          <w:rFonts w:ascii="Times New Roman" w:hAnsi="Times New Roman" w:cs="Times New Roman"/>
          <w:b/>
          <w:sz w:val="24"/>
          <w:szCs w:val="24"/>
        </w:rPr>
      </w:pPr>
    </w:p>
    <w:p>
      <w:pPr>
        <w:snapToGrid w:val="0"/>
        <w:spacing w:line="360" w:lineRule="auto"/>
        <w:rPr>
          <w:rFonts w:ascii="Times New Roman" w:hAnsi="Times New Roman" w:cs="Times New Roman"/>
          <w:b/>
          <w:sz w:val="24"/>
          <w:szCs w:val="24"/>
        </w:rPr>
      </w:pPr>
    </w:p>
    <w:p>
      <w:pPr>
        <w:snapToGrid w:val="0"/>
        <w:spacing w:line="360" w:lineRule="auto"/>
        <w:rPr>
          <w:rFonts w:ascii="Times New Roman" w:hAnsi="Times New Roman" w:cs="Times New Roman"/>
          <w:sz w:val="24"/>
          <w:szCs w:val="24"/>
        </w:rPr>
      </w:pPr>
      <w:r>
        <w:rPr>
          <w:rFonts w:hint="eastAsia" w:ascii="Times New Roman" w:hAnsi="Times New Roman" w:cs="Times New Roman"/>
          <w:sz w:val="24"/>
          <w:szCs w:val="24"/>
        </w:rPr>
        <w:t xml:space="preserve">                                                           林学院</w:t>
      </w:r>
    </w:p>
    <w:p>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2022年1月3日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61CA"/>
    <w:rsid w:val="00013399"/>
    <w:rsid w:val="00047E28"/>
    <w:rsid w:val="000A088A"/>
    <w:rsid w:val="000C6535"/>
    <w:rsid w:val="000D4693"/>
    <w:rsid w:val="000F1460"/>
    <w:rsid w:val="000F671F"/>
    <w:rsid w:val="0011264B"/>
    <w:rsid w:val="00137F3F"/>
    <w:rsid w:val="00150CD8"/>
    <w:rsid w:val="0017467F"/>
    <w:rsid w:val="001C13D9"/>
    <w:rsid w:val="001E6471"/>
    <w:rsid w:val="0020189E"/>
    <w:rsid w:val="002A7BC1"/>
    <w:rsid w:val="002D6E72"/>
    <w:rsid w:val="00362EF9"/>
    <w:rsid w:val="0038367D"/>
    <w:rsid w:val="003B136B"/>
    <w:rsid w:val="003B45AF"/>
    <w:rsid w:val="004008D6"/>
    <w:rsid w:val="00411DF2"/>
    <w:rsid w:val="004376B4"/>
    <w:rsid w:val="004730C1"/>
    <w:rsid w:val="004C0DA6"/>
    <w:rsid w:val="004E3719"/>
    <w:rsid w:val="005331C8"/>
    <w:rsid w:val="00536DB6"/>
    <w:rsid w:val="0057369A"/>
    <w:rsid w:val="0057723A"/>
    <w:rsid w:val="005F3E1B"/>
    <w:rsid w:val="006018A8"/>
    <w:rsid w:val="00616657"/>
    <w:rsid w:val="006528F2"/>
    <w:rsid w:val="0069396F"/>
    <w:rsid w:val="006B1BEA"/>
    <w:rsid w:val="006C5B3A"/>
    <w:rsid w:val="00742002"/>
    <w:rsid w:val="00773527"/>
    <w:rsid w:val="007E5C58"/>
    <w:rsid w:val="007E6729"/>
    <w:rsid w:val="007F7F2B"/>
    <w:rsid w:val="00800158"/>
    <w:rsid w:val="00830EEC"/>
    <w:rsid w:val="008457D3"/>
    <w:rsid w:val="0088035E"/>
    <w:rsid w:val="00883C01"/>
    <w:rsid w:val="008A7675"/>
    <w:rsid w:val="008C3B29"/>
    <w:rsid w:val="008E4BDB"/>
    <w:rsid w:val="0090070E"/>
    <w:rsid w:val="00931CC8"/>
    <w:rsid w:val="009503AE"/>
    <w:rsid w:val="0097284A"/>
    <w:rsid w:val="009A38D8"/>
    <w:rsid w:val="009B297D"/>
    <w:rsid w:val="00A76BBA"/>
    <w:rsid w:val="00A80DB1"/>
    <w:rsid w:val="00AA3185"/>
    <w:rsid w:val="00AC0AE6"/>
    <w:rsid w:val="00AC23F9"/>
    <w:rsid w:val="00AD07F6"/>
    <w:rsid w:val="00AE67D3"/>
    <w:rsid w:val="00B35D91"/>
    <w:rsid w:val="00B670EB"/>
    <w:rsid w:val="00B862EB"/>
    <w:rsid w:val="00BA61CA"/>
    <w:rsid w:val="00BB0E2A"/>
    <w:rsid w:val="00C9460D"/>
    <w:rsid w:val="00CE18DF"/>
    <w:rsid w:val="00D1770C"/>
    <w:rsid w:val="00D42E3D"/>
    <w:rsid w:val="00DA6F57"/>
    <w:rsid w:val="00DE21DA"/>
    <w:rsid w:val="00E32762"/>
    <w:rsid w:val="00E7778A"/>
    <w:rsid w:val="00F769E4"/>
    <w:rsid w:val="00F8580D"/>
    <w:rsid w:val="00F908BD"/>
    <w:rsid w:val="00FA44E1"/>
    <w:rsid w:val="00FC0DF0"/>
    <w:rsid w:val="00FC5372"/>
    <w:rsid w:val="00FF63CC"/>
    <w:rsid w:val="2B1676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2"/>
    <w:semiHidden/>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uiPriority w:val="99"/>
    <w:rPr>
      <w:b/>
      <w:bCs/>
    </w:rPr>
  </w:style>
  <w:style w:type="character" w:styleId="9">
    <w:name w:val="Hyperlink"/>
    <w:basedOn w:val="8"/>
    <w:unhideWhenUsed/>
    <w:uiPriority w:val="99"/>
    <w:rPr>
      <w:color w:val="0000FF" w:themeColor="hyperlink"/>
      <w:u w:val="single"/>
    </w:rPr>
  </w:style>
  <w:style w:type="character" w:styleId="10">
    <w:name w:val="annotation reference"/>
    <w:basedOn w:val="8"/>
    <w:semiHidden/>
    <w:unhideWhenUsed/>
    <w:uiPriority w:val="99"/>
    <w:rPr>
      <w:sz w:val="21"/>
      <w:szCs w:val="21"/>
    </w:rPr>
  </w:style>
  <w:style w:type="character" w:customStyle="1" w:styleId="11">
    <w:name w:val="页眉 Char"/>
    <w:basedOn w:val="8"/>
    <w:link w:val="5"/>
    <w:semiHidden/>
    <w:uiPriority w:val="99"/>
    <w:rPr>
      <w:sz w:val="18"/>
      <w:szCs w:val="18"/>
    </w:rPr>
  </w:style>
  <w:style w:type="character" w:customStyle="1" w:styleId="12">
    <w:name w:val="页脚 Char"/>
    <w:basedOn w:val="8"/>
    <w:link w:val="4"/>
    <w:semiHidden/>
    <w:uiPriority w:val="99"/>
    <w:rPr>
      <w:sz w:val="18"/>
      <w:szCs w:val="18"/>
    </w:rPr>
  </w:style>
  <w:style w:type="character" w:customStyle="1" w:styleId="13">
    <w:name w:val="批注文字 Char"/>
    <w:basedOn w:val="8"/>
    <w:link w:val="2"/>
    <w:semiHidden/>
    <w:uiPriority w:val="99"/>
  </w:style>
  <w:style w:type="character" w:customStyle="1" w:styleId="14">
    <w:name w:val="批注主题 Char"/>
    <w:basedOn w:val="13"/>
    <w:link w:val="6"/>
    <w:semiHidden/>
    <w:uiPriority w:val="99"/>
    <w:rPr>
      <w:b/>
      <w:bCs/>
    </w:rPr>
  </w:style>
  <w:style w:type="character" w:customStyle="1" w:styleId="15">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Company>
  <Pages>5</Pages>
  <Words>590</Words>
  <Characters>3365</Characters>
  <Lines>28</Lines>
  <Paragraphs>7</Paragraphs>
  <TotalTime>770</TotalTime>
  <ScaleCrop>false</ScaleCrop>
  <LinksUpToDate>false</LinksUpToDate>
  <CharactersWithSpaces>3948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2019-10-24T03:08:00Z</dcterms:created>
  <dc:creator>UU</dc:creator>
  <cp:lastModifiedBy>石磊</cp:lastModifiedBy>
  <dcterms:modified xsi:type="dcterms:W3CDTF">2022-01-24T12:03:22Z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96E7569059EE4377A3C881163E245BC5</vt:lpwstr>
  </property>
</Properties>
</file>