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color w:val="000033"/>
          <w:sz w:val="30"/>
          <w:szCs w:val="30"/>
        </w:rPr>
      </w:pPr>
      <w:r>
        <w:rPr>
          <w:rFonts w:hint="eastAsia" w:cs="仿宋" w:asciiTheme="majorEastAsia" w:hAnsiTheme="majorEastAsia" w:eastAsiaTheme="majorEastAsia"/>
          <w:b/>
          <w:color w:val="000033"/>
          <w:sz w:val="30"/>
          <w:szCs w:val="30"/>
        </w:rPr>
        <w:t>园艺科学与工程学院</w:t>
      </w:r>
    </w:p>
    <w:p>
      <w:pPr>
        <w:jc w:val="center"/>
        <w:rPr>
          <w:rFonts w:cs="仿宋" w:asciiTheme="majorEastAsia" w:hAnsiTheme="majorEastAsia" w:eastAsiaTheme="majorEastAsia"/>
          <w:b/>
          <w:color w:val="000033"/>
          <w:sz w:val="30"/>
          <w:szCs w:val="30"/>
        </w:rPr>
      </w:pPr>
      <w:r>
        <w:rPr>
          <w:rFonts w:hint="eastAsia" w:cs="仿宋" w:asciiTheme="majorEastAsia" w:hAnsiTheme="majorEastAsia" w:eastAsiaTheme="majorEastAsia"/>
          <w:b/>
          <w:color w:val="000033"/>
          <w:sz w:val="30"/>
          <w:szCs w:val="30"/>
        </w:rPr>
        <w:t>202</w:t>
      </w:r>
      <w:r>
        <w:rPr>
          <w:rFonts w:cs="仿宋" w:asciiTheme="majorEastAsia" w:hAnsiTheme="majorEastAsia" w:eastAsiaTheme="majorEastAsia"/>
          <w:b/>
          <w:color w:val="000033"/>
          <w:sz w:val="30"/>
          <w:szCs w:val="30"/>
        </w:rPr>
        <w:t>2</w:t>
      </w:r>
      <w:r>
        <w:rPr>
          <w:rFonts w:hint="eastAsia" w:cs="仿宋" w:asciiTheme="majorEastAsia" w:hAnsiTheme="majorEastAsia" w:eastAsiaTheme="majorEastAsia"/>
          <w:b/>
          <w:color w:val="000033"/>
          <w:sz w:val="30"/>
          <w:szCs w:val="30"/>
        </w:rPr>
        <w:t>年“申请-考核制”招收博士研究生实施细则</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为贯彻落实教育部和省厅相关要求，进一步深化我校博士研究生招生改革，吸引科研素质高、创新能力强的博士研究生生源，促进我校研究生教育全面发展，根据“山东农业大学202</w:t>
      </w:r>
      <w:r>
        <w:rPr>
          <w:rFonts w:ascii="仿宋" w:hAnsi="仿宋" w:eastAsia="仿宋" w:cs="仿宋"/>
          <w:sz w:val="28"/>
          <w:szCs w:val="28"/>
        </w:rPr>
        <w:t>2</w:t>
      </w:r>
      <w:r>
        <w:rPr>
          <w:rFonts w:hint="eastAsia" w:ascii="仿宋" w:hAnsi="仿宋" w:eastAsia="仿宋" w:cs="仿宋"/>
          <w:sz w:val="28"/>
          <w:szCs w:val="28"/>
        </w:rPr>
        <w:t>年“申请-考核制”实施方案”，结合学院实际，特制本实施细则。</w:t>
      </w:r>
    </w:p>
    <w:p>
      <w:pPr>
        <w:pStyle w:val="4"/>
        <w:widowControl/>
        <w:spacing w:beforeAutospacing="0" w:afterAutospacing="0" w:line="360" w:lineRule="auto"/>
        <w:rPr>
          <w:rFonts w:ascii="仿宋" w:hAnsi="仿宋" w:eastAsia="仿宋" w:cs="仿宋"/>
          <w:sz w:val="28"/>
          <w:szCs w:val="28"/>
          <w:shd w:val="clear" w:color="auto" w:fill="FFFFFF"/>
        </w:rPr>
      </w:pPr>
      <w:r>
        <w:rPr>
          <w:rFonts w:hint="eastAsia" w:ascii="仿宋" w:hAnsi="仿宋" w:eastAsia="仿宋" w:cs="仿宋"/>
          <w:kern w:val="2"/>
          <w:sz w:val="28"/>
          <w:szCs w:val="28"/>
        </w:rPr>
        <w:t>一、组织机构</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（一）学院成立博士研究生招生工作领导小组，由院长任组长，分管研究生工作的副院长任副组长</w:t>
      </w:r>
      <w:r>
        <w:rPr>
          <w:rFonts w:hint="eastAsia" w:ascii="仿宋" w:hAnsi="仿宋" w:eastAsia="仿宋" w:cs="仿宋"/>
          <w:sz w:val="28"/>
          <w:szCs w:val="28"/>
          <w:shd w:val="clear" w:color="auto" w:fill="FFFFFF"/>
        </w:rPr>
        <w:t>，</w:t>
      </w:r>
      <w:r>
        <w:rPr>
          <w:rFonts w:hint="eastAsia" w:ascii="仿宋" w:hAnsi="仿宋" w:eastAsia="仿宋" w:cs="仿宋"/>
          <w:sz w:val="28"/>
          <w:szCs w:val="28"/>
        </w:rPr>
        <w:t>成员原则上为博士生导师（含考生报考的导师），根据“申请-考核制”工作要求制定符合学院学科特点的考核方案，报研究生招生办公室审核。</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（二）学院成立博士研究生招生工作监督小组，由学院党委书记任组长，成员由分管研究生工作的副书记、研究生辅导员担任</w:t>
      </w:r>
      <w:r>
        <w:rPr>
          <w:rFonts w:hint="eastAsia" w:ascii="仿宋" w:hAnsi="仿宋" w:eastAsia="仿宋" w:cs="仿宋"/>
          <w:sz w:val="28"/>
          <w:szCs w:val="28"/>
          <w:shd w:val="clear" w:color="auto" w:fill="FFFFFF"/>
        </w:rPr>
        <w:t>，</w:t>
      </w:r>
      <w:r>
        <w:rPr>
          <w:rFonts w:hint="eastAsia" w:ascii="仿宋" w:hAnsi="仿宋" w:eastAsia="仿宋" w:cs="仿宋"/>
          <w:sz w:val="28"/>
          <w:szCs w:val="28"/>
        </w:rPr>
        <w:t>原则上应为3-5 人。小组负责本学院“申请-考核”制招生工作实施的监督、检查及违规处理，负责受理考生举报与投诉。</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三）学院成立博士研究生招生考核工作小组（成员为博士研究生指导教师，不少于7人，其中4人为非本院博士生指导教师），负责对申请人申请材料进行综合评定，根据学科情况采取面试的方式对申请者进行英语水平、专业能力及综合素质考核。</w:t>
      </w:r>
    </w:p>
    <w:p>
      <w:pPr>
        <w:pStyle w:val="4"/>
        <w:widowControl/>
        <w:spacing w:beforeAutospacing="0" w:afterAutospacing="0" w:line="360" w:lineRule="auto"/>
        <w:rPr>
          <w:rFonts w:ascii="仿宋" w:hAnsi="仿宋" w:eastAsia="仿宋" w:cs="仿宋"/>
          <w:sz w:val="28"/>
          <w:szCs w:val="28"/>
        </w:rPr>
      </w:pPr>
      <w:r>
        <w:rPr>
          <w:rFonts w:hint="eastAsia" w:ascii="仿宋" w:hAnsi="仿宋" w:eastAsia="仿宋" w:cs="仿宋"/>
          <w:sz w:val="28"/>
          <w:szCs w:val="28"/>
        </w:rPr>
        <w:t>二、申请条件</w:t>
      </w:r>
    </w:p>
    <w:p>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（一）符合我校当年博士生招生简章中普通招考的报考条件。</w:t>
      </w:r>
    </w:p>
    <w:p>
      <w:pPr>
        <w:pStyle w:val="4"/>
        <w:widowControl/>
        <w:spacing w:beforeAutospacing="0" w:afterAutospacing="0" w:line="360" w:lineRule="auto"/>
        <w:ind w:firstLine="560" w:firstLineChars="200"/>
        <w:rPr>
          <w:rFonts w:ascii="仿宋" w:hAnsi="仿宋" w:eastAsia="仿宋" w:cs="仿宋"/>
          <w:kern w:val="2"/>
          <w:sz w:val="28"/>
          <w:szCs w:val="28"/>
        </w:rPr>
      </w:pP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1.拥护中国共产党的领导，具有正确的政治方向，热爱祖国，愿意为社会主义现代化建设服务，遵纪守法，品行端正。</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2.考生学位或学历必须符合下列条件之一：</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（1）已获得硕士学位的人员，单证硕士学位（无学历证书）的考生应于202</w:t>
      </w:r>
      <w:r>
        <w:rPr>
          <w:rFonts w:ascii="仿宋" w:hAnsi="仿宋" w:eastAsia="仿宋" w:cs="仿宋"/>
          <w:sz w:val="28"/>
          <w:szCs w:val="28"/>
        </w:rPr>
        <w:t>1</w:t>
      </w:r>
      <w:r>
        <w:rPr>
          <w:rFonts w:hint="eastAsia" w:ascii="仿宋" w:hAnsi="仿宋" w:eastAsia="仿宋" w:cs="仿宋"/>
          <w:sz w:val="28"/>
          <w:szCs w:val="28"/>
        </w:rPr>
        <w:t>年12月31日前获得学位；</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（2）应届硕士毕业生(最迟应在博士入学前取得硕士学位证书和硕士研究生毕业证书)；</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3.有至少两名所报考学科专业领域内的教授（或相当专业技术职称的专家）的书面推荐意见。</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4.在职申请硕士学位者必须在取得学位后方可报考。</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5.在国外(境外)获得的学历和学位证书须通过教育部留学服务中心的认证后，方可报考。</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6.军队院校应届毕业生以及学籍或者学历信息未在教育部中国高等教育学生信息网注册备案者，不得报考。</w:t>
      </w:r>
    </w:p>
    <w:p>
      <w:pPr>
        <w:pStyle w:val="4"/>
        <w:widowControl/>
        <w:spacing w:beforeAutospacing="0" w:after="240" w:afterAutospacing="0" w:line="360" w:lineRule="auto"/>
        <w:rPr>
          <w:rFonts w:hint="eastAsia" w:ascii="仿宋" w:hAnsi="仿宋" w:eastAsia="仿宋" w:cs="仿宋"/>
          <w:sz w:val="28"/>
          <w:szCs w:val="28"/>
        </w:rPr>
      </w:pPr>
      <w:r>
        <w:rPr>
          <w:rFonts w:hint="eastAsia" w:ascii="仿宋" w:hAnsi="仿宋" w:eastAsia="仿宋" w:cs="仿宋"/>
          <w:sz w:val="28"/>
          <w:szCs w:val="28"/>
        </w:rPr>
        <w:t>7.身体和心理健康状况符合招生单位规定，体检标准请参照《普通高等学校招生体检工作指导意见》。</w:t>
      </w:r>
    </w:p>
    <w:p>
      <w:pPr>
        <w:widowControl/>
        <w:adjustRightInd w:val="0"/>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sz w:val="28"/>
          <w:szCs w:val="28"/>
        </w:rPr>
        <w:t>（二）</w:t>
      </w:r>
      <w:r>
        <w:rPr>
          <w:rFonts w:hint="eastAsia" w:ascii="仿宋" w:hAnsi="仿宋" w:eastAsia="仿宋" w:cs="仿宋"/>
          <w:kern w:val="0"/>
          <w:sz w:val="28"/>
          <w:szCs w:val="28"/>
          <w:lang w:bidi="ar"/>
        </w:rPr>
        <w:t>具有较强的科研创新能力，取得一定科研成果，必须具备下列条件之一：</w:t>
      </w:r>
    </w:p>
    <w:p>
      <w:pPr>
        <w:widowControl/>
        <w:adjustRightInd w:val="0"/>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1.独立或以第一作者在SCI期刊三区及以上发表论文1篇；</w:t>
      </w:r>
    </w:p>
    <w:p>
      <w:pPr>
        <w:widowControl/>
        <w:adjustRightInd w:val="0"/>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2.独立或以第一作者至少在一级期刊发表论文1篇。</w:t>
      </w:r>
    </w:p>
    <w:p>
      <w:pPr>
        <w:pStyle w:val="4"/>
        <w:widowControl/>
        <w:spacing w:beforeAutospacing="0" w:afterAutospacing="0" w:line="360" w:lineRule="auto"/>
        <w:ind w:firstLine="562"/>
        <w:rPr>
          <w:rFonts w:ascii="仿宋" w:hAnsi="仿宋" w:eastAsia="仿宋" w:cs="仿宋"/>
          <w:sz w:val="28"/>
          <w:szCs w:val="28"/>
          <w:lang w:bidi="ar"/>
        </w:rPr>
      </w:pPr>
      <w:r>
        <w:rPr>
          <w:rFonts w:hint="eastAsia" w:ascii="仿宋" w:hAnsi="仿宋" w:eastAsia="仿宋" w:cs="仿宋"/>
          <w:sz w:val="28"/>
          <w:szCs w:val="28"/>
          <w:lang w:bidi="ar"/>
        </w:rPr>
        <w:t>（三）具有较强的语言能力，近五年（201</w:t>
      </w:r>
      <w:r>
        <w:rPr>
          <w:rFonts w:ascii="仿宋" w:hAnsi="仿宋" w:eastAsia="仿宋" w:cs="仿宋"/>
          <w:sz w:val="28"/>
          <w:szCs w:val="28"/>
          <w:lang w:bidi="ar"/>
        </w:rPr>
        <w:t>6</w:t>
      </w:r>
      <w:r>
        <w:rPr>
          <w:rFonts w:hint="eastAsia" w:ascii="仿宋" w:hAnsi="仿宋" w:eastAsia="仿宋" w:cs="仿宋"/>
          <w:sz w:val="28"/>
          <w:szCs w:val="28"/>
          <w:lang w:bidi="ar"/>
        </w:rPr>
        <w:t>年12月至报名系统关闭）英语水平达到以下之一：</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1.CET-6≥426或CET-4≥460；</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2.WSK(PETS 5)考试合格;</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3.IELTS≥6.0;</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4.TOEFL成绩80分及以上(IBT);</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5.新GRE成绩260分及以上；</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6.以第一作者身份在英文国际期刊(SCI)上发表过专业学术论文；</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7.在英语为母语的国家或地区获得硕士或博士学位。</w:t>
      </w:r>
    </w:p>
    <w:p>
      <w:pPr>
        <w:pStyle w:val="4"/>
        <w:widowControl/>
        <w:spacing w:beforeAutospacing="0" w:after="240" w:afterAutospacing="0" w:line="360" w:lineRule="auto"/>
        <w:rPr>
          <w:rFonts w:hint="eastAsia" w:ascii="仿宋" w:hAnsi="仿宋" w:eastAsia="仿宋" w:cs="仿宋"/>
          <w:sz w:val="28"/>
          <w:szCs w:val="28"/>
        </w:rPr>
      </w:pPr>
      <w:r>
        <w:rPr>
          <w:rFonts w:hint="eastAsia" w:ascii="仿宋" w:hAnsi="仿宋" w:eastAsia="仿宋" w:cs="仿宋"/>
          <w:sz w:val="28"/>
          <w:szCs w:val="28"/>
        </w:rPr>
        <w:t>本科至硕士连续在读的应届硕士毕业生，在读期间的四、六级英语成绩不受时间限制。</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（四）申请考核制招生原则上仅接受本学科毕业生（含应届）的申请，为鼓励学科交叉，培养复合型人才，可接受相关或相近学科考生的申请，但必须有相同学科</w:t>
      </w:r>
      <w:r>
        <w:rPr>
          <w:rFonts w:hint="eastAsia" w:ascii="仿宋" w:hAnsi="仿宋" w:eastAsia="仿宋" w:cs="仿宋"/>
          <w:sz w:val="28"/>
          <w:szCs w:val="28"/>
          <w:lang w:bidi="ar"/>
        </w:rPr>
        <w:t>3名博士研究生指导教师推荐（每名博士研究生指导教师只能推荐1名）</w:t>
      </w:r>
      <w:r>
        <w:rPr>
          <w:rFonts w:hint="eastAsia" w:ascii="仿宋" w:hAnsi="仿宋" w:eastAsia="仿宋" w:cs="仿宋"/>
          <w:sz w:val="28"/>
          <w:szCs w:val="28"/>
        </w:rPr>
        <w:t>。</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三、申请材料</w:t>
      </w:r>
    </w:p>
    <w:p>
      <w:pPr>
        <w:pStyle w:val="4"/>
        <w:widowControl/>
        <w:spacing w:beforeAutospacing="0" w:after="240" w:afterAutospacing="0" w:line="360" w:lineRule="auto"/>
        <w:ind w:firstLine="560" w:firstLineChars="200"/>
        <w:rPr>
          <w:rFonts w:ascii="仿宋" w:hAnsi="仿宋" w:eastAsia="仿宋" w:cs="仿宋"/>
          <w:kern w:val="2"/>
          <w:sz w:val="28"/>
          <w:szCs w:val="28"/>
        </w:rPr>
      </w:pPr>
      <w:r>
        <w:rPr>
          <w:rFonts w:hint="eastAsia" w:ascii="仿宋" w:hAnsi="仿宋" w:eastAsia="仿宋" w:cs="仿宋"/>
          <w:sz w:val="28"/>
          <w:szCs w:val="28"/>
        </w:rPr>
        <w:t>符合条件的考生登录山东农业大学招生管理系统，填报相关信息，考试方式选择（申请考核），同时按文件要求提交材料，并交费220元。请考生做好自查，务必符合报考条件，因材料不符合要求而未通过的，报名费不予退回。</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需提交报名材料：</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（一）《山东农业大学202</w:t>
      </w:r>
      <w:r>
        <w:rPr>
          <w:rFonts w:ascii="仿宋" w:hAnsi="仿宋" w:eastAsia="仿宋" w:cs="仿宋"/>
          <w:sz w:val="28"/>
          <w:szCs w:val="28"/>
        </w:rPr>
        <w:t>2</w:t>
      </w:r>
      <w:r>
        <w:rPr>
          <w:rFonts w:hint="eastAsia" w:ascii="仿宋" w:hAnsi="仿宋" w:eastAsia="仿宋" w:cs="仿宋"/>
          <w:sz w:val="28"/>
          <w:szCs w:val="28"/>
        </w:rPr>
        <w:t>年“申请-考核制”博士研究生申请表》，一式七份。</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（二）本人有效身份证和学生证（往届生不提供学生证）原件及复印件。</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（四）英语水平证书或成绩单。</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（五）研究生阶段成绩单。由申请者所在学校研究生培养部门提供，并加盖公章；非应届毕业生也可由申请者档案所在部门提供，并加盖公章。</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（六）获奖证书、课题、发明专利、已发表（录用）论文等的原件或其它可以证明考生科研能力和水平的证明材料。</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（七）往届生提供硕士学位论文全文（含答辩情况表和答辩决议书复印件）；应届毕业硕士生可提供论文开题报告、论文摘要和核心研究内容等。</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（八）个人陈述书（3000-5000字）：内容包括学习及学术研究的简要经历、经验、能力、特别成就及其他原创性研究成果、攻读博士学位期间本人拟从事的研究方向和科研设想。</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（九）下载并填写《山东农业大学报考攻读202</w:t>
      </w:r>
      <w:r>
        <w:rPr>
          <w:rFonts w:ascii="仿宋" w:hAnsi="仿宋" w:eastAsia="仿宋" w:cs="仿宋"/>
          <w:sz w:val="28"/>
          <w:szCs w:val="28"/>
        </w:rPr>
        <w:t>2</w:t>
      </w:r>
      <w:r>
        <w:rPr>
          <w:rFonts w:hint="eastAsia" w:ascii="仿宋" w:hAnsi="仿宋" w:eastAsia="仿宋" w:cs="仿宋"/>
          <w:sz w:val="28"/>
          <w:szCs w:val="28"/>
        </w:rPr>
        <w:t>年博士学位研究生思想政治品德考核表》，未就业人员加盖档案保管单位公章，应届生加盖所在学院党委公章。</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（十）专家推荐信：</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1.取得一定科研成果的考生，提供2名所报考学科专业领域内教授（或相当于教授)及以上职称专家推荐书。</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2.科研工作取得重大进展为条件报名的考生，需要提供相同或相近学科3名博士研究生指导教师推荐信。</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（十一）二级甲等及以上医院出具的体检合格证明（近三个月）。</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四、考核程序</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（一）材料初审</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导师结合本学科专业的培养要求和申请人的申请材料，审查同意后向学院招生工作领导小组推荐考核名单，学院招生工作领导小组在审核申请人材料的基础上按一定比例（按不超过招生人数1：3的比例）拟定考核名单，</w:t>
      </w:r>
      <w:r>
        <w:rPr>
          <w:rFonts w:hint="eastAsia" w:ascii="仿宋" w:hAnsi="仿宋" w:eastAsia="仿宋" w:cs="仿宋"/>
          <w:sz w:val="28"/>
          <w:szCs w:val="28"/>
          <w:lang w:val="en-US" w:eastAsia="zh-CN"/>
        </w:rPr>
        <w:t>然后将考核名单报研招办审核，审核通过的</w:t>
      </w:r>
      <w:bookmarkStart w:id="0" w:name="_GoBack"/>
      <w:bookmarkEnd w:id="0"/>
      <w:r>
        <w:rPr>
          <w:rFonts w:hint="eastAsia" w:ascii="仿宋" w:hAnsi="仿宋" w:eastAsia="仿宋" w:cs="仿宋"/>
          <w:sz w:val="28"/>
          <w:szCs w:val="28"/>
        </w:rPr>
        <w:t>考核名单在学院网页上进行公布。</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（二）材料复审及考核</w:t>
      </w:r>
    </w:p>
    <w:p>
      <w:pPr>
        <w:pStyle w:val="4"/>
        <w:widowControl/>
        <w:spacing w:beforeAutospacing="0" w:after="24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学院考核工作小组负责对申请人申请材料进行综合评定。采用面试的方式进行考核。每生考核时间不能低于30分钟，其中考生PPT汇报时间为10分钟，专家考核时间不少于20分钟。</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1、考核内容</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（1）考生个人陈述</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在规定的时间内以PPT汇报形式展示个人学习科研经历、学术成果和未来读博计划等。</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（2）专家组考核，主要包括：</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英语水平考核：主要考核申请者外语水平及专业外语掌握及使用能力(含文献阅读、摘要写作、口语和听力等）。</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专业能力考核：学院设计符合本学科特点的考核方式和专业内容（其中包含本专业招生目录中公布的笔试科目），充分考察申请人对本学科前沿知识及最新研究动态掌握情况、综合运用所学知识能力、科研能力、培养潜质及是否具有创新精神和创造能力等。</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综合素质考核：主要考核申请者近五年内已取得的科研成果情况；审阅申请者攻读博士学位期间的科研计划书；考查申请者科研思维、分析解决科研问题能力及独立开展科学研究等培养潜质情况，还应包括申请者思想政治表现、学习（工作）态度、学术道德、专业伦理、诚实守信、语言表达和礼仪以及心理状况等方面。</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2、英语水平、专业能力考核和综合素质考核成绩满分均为100分，低于60分不予录取。</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3、考核工作小组每位成员对申请人的表现独立打分，凡是主观打分的都要采取去掉一个最高分、去掉一个最低分、然后求平均分的计分方式。</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4、考核总成绩折算办法：</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考核总成绩=英语水平×20%+专业能力考核×60%+综合素质考核×20%</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5、面试各环节全程录音录像。</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五、时间安排</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 xml:space="preserve">    按照学校公布时间进行。</w:t>
      </w:r>
    </w:p>
    <w:p>
      <w:pPr>
        <w:pStyle w:val="4"/>
        <w:widowControl/>
        <w:numPr>
          <w:ilvl w:val="0"/>
          <w:numId w:val="1"/>
        </w:numPr>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录取</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（一）录取时以报考导师为单位，按考核成绩由高到低排序，低于60 分者不予录取。</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（二）学院招生工作领导小组根据招生计划，综合考生申请材料审查和评价结果、专家考核情况等做出综合判断，按照学院考核办法确定拟录取名单。</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三）研究生招生办公室审核汇总后报学校研究生招生工作小组审定，并对审定后的名单进行公示，公示无异议并报教育部审核通过后，确定录取资格。未经学校研究生招生工作小组审定的名单，导师和学院不得向申请人承诺录取。</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（五）通过“申请-考核制”选拔的博士研究生学习年限、毕业就业、缴纳学费政策及奖、助学金政策与其他全日制博士研究生相同。</w:t>
      </w:r>
    </w:p>
    <w:p>
      <w:pPr>
        <w:pStyle w:val="4"/>
        <w:widowControl/>
        <w:spacing w:beforeAutospacing="0" w:after="240" w:afterAutospacing="0" w:line="360" w:lineRule="auto"/>
        <w:rPr>
          <w:rFonts w:ascii="仿宋" w:hAnsi="仿宋" w:eastAsia="仿宋" w:cs="仿宋"/>
          <w:sz w:val="28"/>
          <w:szCs w:val="28"/>
        </w:rPr>
      </w:pPr>
      <w:r>
        <w:rPr>
          <w:rFonts w:hint="eastAsia" w:ascii="仿宋" w:hAnsi="仿宋" w:eastAsia="仿宋" w:cs="仿宋"/>
          <w:sz w:val="28"/>
          <w:szCs w:val="28"/>
        </w:rPr>
        <w:t>七、其他</w:t>
      </w:r>
    </w:p>
    <w:p>
      <w:pPr>
        <w:pStyle w:val="4"/>
        <w:widowControl/>
        <w:spacing w:beforeAutospacing="0" w:after="24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其他本方案未涉及到的特殊事项，经学校和学院研究生招生工作领导小组集体研究后决定。</w:t>
      </w:r>
    </w:p>
    <w:p>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AE77D"/>
    <w:multiLevelType w:val="singleLevel"/>
    <w:tmpl w:val="C9DAE77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F2"/>
    <w:rsid w:val="00144129"/>
    <w:rsid w:val="003C03EA"/>
    <w:rsid w:val="00434B03"/>
    <w:rsid w:val="005A6F9F"/>
    <w:rsid w:val="00603555"/>
    <w:rsid w:val="00733E8B"/>
    <w:rsid w:val="00820456"/>
    <w:rsid w:val="009902F2"/>
    <w:rsid w:val="009B3C19"/>
    <w:rsid w:val="009F784A"/>
    <w:rsid w:val="00AA34F3"/>
    <w:rsid w:val="00C909AC"/>
    <w:rsid w:val="00E77800"/>
    <w:rsid w:val="014D110C"/>
    <w:rsid w:val="025C6D86"/>
    <w:rsid w:val="071476D3"/>
    <w:rsid w:val="0C81550D"/>
    <w:rsid w:val="0E1B1FBB"/>
    <w:rsid w:val="0E25285A"/>
    <w:rsid w:val="0ED941EA"/>
    <w:rsid w:val="10613D9E"/>
    <w:rsid w:val="1171348D"/>
    <w:rsid w:val="118D6048"/>
    <w:rsid w:val="11F801FE"/>
    <w:rsid w:val="1282034A"/>
    <w:rsid w:val="129F0ABF"/>
    <w:rsid w:val="132D7F64"/>
    <w:rsid w:val="138132D1"/>
    <w:rsid w:val="18691CFB"/>
    <w:rsid w:val="18906B48"/>
    <w:rsid w:val="18C5024B"/>
    <w:rsid w:val="1D521359"/>
    <w:rsid w:val="1DA95FAA"/>
    <w:rsid w:val="1F246FC5"/>
    <w:rsid w:val="1FC3062C"/>
    <w:rsid w:val="21D1038D"/>
    <w:rsid w:val="233F2B3E"/>
    <w:rsid w:val="237802A9"/>
    <w:rsid w:val="265476D7"/>
    <w:rsid w:val="266E11C7"/>
    <w:rsid w:val="26F453AD"/>
    <w:rsid w:val="278E0F49"/>
    <w:rsid w:val="28FC25A0"/>
    <w:rsid w:val="292A1656"/>
    <w:rsid w:val="29466E64"/>
    <w:rsid w:val="2A2670A9"/>
    <w:rsid w:val="2B4E7348"/>
    <w:rsid w:val="2C05500E"/>
    <w:rsid w:val="2C0F53B5"/>
    <w:rsid w:val="2C6517C2"/>
    <w:rsid w:val="2C8312FC"/>
    <w:rsid w:val="30483DC9"/>
    <w:rsid w:val="30963D8A"/>
    <w:rsid w:val="309A72B4"/>
    <w:rsid w:val="318060FB"/>
    <w:rsid w:val="339F554A"/>
    <w:rsid w:val="33A6726E"/>
    <w:rsid w:val="35D21D20"/>
    <w:rsid w:val="36596C9A"/>
    <w:rsid w:val="36FC7A7E"/>
    <w:rsid w:val="37F83E6E"/>
    <w:rsid w:val="3AB32003"/>
    <w:rsid w:val="41BF44A7"/>
    <w:rsid w:val="42E20A89"/>
    <w:rsid w:val="43802F0D"/>
    <w:rsid w:val="438B6B3F"/>
    <w:rsid w:val="45DC0EFC"/>
    <w:rsid w:val="460E16BC"/>
    <w:rsid w:val="46E3209F"/>
    <w:rsid w:val="4BD34026"/>
    <w:rsid w:val="4DC345C9"/>
    <w:rsid w:val="50CD50BF"/>
    <w:rsid w:val="50D423CA"/>
    <w:rsid w:val="51103C51"/>
    <w:rsid w:val="51885ED1"/>
    <w:rsid w:val="51990C2A"/>
    <w:rsid w:val="537574ED"/>
    <w:rsid w:val="54F4544A"/>
    <w:rsid w:val="566D1749"/>
    <w:rsid w:val="58073495"/>
    <w:rsid w:val="592532B6"/>
    <w:rsid w:val="59E63FD4"/>
    <w:rsid w:val="5A1F02FC"/>
    <w:rsid w:val="5EA16C02"/>
    <w:rsid w:val="61F31ADD"/>
    <w:rsid w:val="62190ADA"/>
    <w:rsid w:val="623E6F04"/>
    <w:rsid w:val="65FF2BEF"/>
    <w:rsid w:val="687F54A0"/>
    <w:rsid w:val="6886373F"/>
    <w:rsid w:val="6B016E8F"/>
    <w:rsid w:val="6D30694B"/>
    <w:rsid w:val="70510E1F"/>
    <w:rsid w:val="721B213D"/>
    <w:rsid w:val="72854D3E"/>
    <w:rsid w:val="73062EDD"/>
    <w:rsid w:val="73B61C15"/>
    <w:rsid w:val="74DF1A7D"/>
    <w:rsid w:val="777A7678"/>
    <w:rsid w:val="78815E8A"/>
    <w:rsid w:val="7CCB3442"/>
    <w:rsid w:val="7D812A0E"/>
    <w:rsid w:val="7F1D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jc w:val="left"/>
    </w:pPr>
    <w:rPr>
      <w:sz w:val="18"/>
      <w:szCs w:val="18"/>
    </w:rPr>
  </w:style>
  <w:style w:type="paragraph" w:styleId="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B3B3B"/>
      <w:sz w:val="18"/>
      <w:szCs w:val="18"/>
      <w:u w:val="none"/>
    </w:rPr>
  </w:style>
  <w:style w:type="character" w:styleId="9">
    <w:name w:val="Hyperlink"/>
    <w:basedOn w:val="6"/>
    <w:qFormat/>
    <w:uiPriority w:val="0"/>
    <w:rPr>
      <w:color w:val="3B3B3B"/>
      <w:sz w:val="18"/>
      <w:szCs w:val="18"/>
      <w:u w:val="none"/>
    </w:rPr>
  </w:style>
  <w:style w:type="character" w:customStyle="1" w:styleId="10">
    <w:name w:val="item-name"/>
    <w:basedOn w:val="6"/>
    <w:qFormat/>
    <w:uiPriority w:val="0"/>
  </w:style>
  <w:style w:type="character" w:customStyle="1" w:styleId="11">
    <w:name w:val="item-name1"/>
    <w:basedOn w:val="6"/>
    <w:qFormat/>
    <w:uiPriority w:val="0"/>
  </w:style>
  <w:style w:type="character" w:customStyle="1" w:styleId="12">
    <w:name w:val="item-name2"/>
    <w:basedOn w:val="6"/>
    <w:qFormat/>
    <w:uiPriority w:val="0"/>
  </w:style>
  <w:style w:type="character" w:customStyle="1" w:styleId="13">
    <w:name w:val="item-name3"/>
    <w:basedOn w:val="6"/>
    <w:qFormat/>
    <w:uiPriority w:val="0"/>
  </w:style>
  <w:style w:type="character" w:customStyle="1" w:styleId="14">
    <w:name w:val="news_title"/>
    <w:basedOn w:val="6"/>
    <w:qFormat/>
    <w:uiPriority w:val="0"/>
  </w:style>
  <w:style w:type="character" w:customStyle="1" w:styleId="15">
    <w:name w:val="news_meta"/>
    <w:basedOn w:val="6"/>
    <w:qFormat/>
    <w:uiPriority w:val="0"/>
  </w:style>
  <w:style w:type="character" w:customStyle="1" w:styleId="16">
    <w:name w:val="column-name12"/>
    <w:basedOn w:val="6"/>
    <w:qFormat/>
    <w:uiPriority w:val="0"/>
    <w:rPr>
      <w:b/>
      <w:color w:val="202020"/>
    </w:rPr>
  </w:style>
  <w:style w:type="character" w:customStyle="1" w:styleId="17">
    <w:name w:val="column-name13"/>
    <w:basedOn w:val="6"/>
    <w:qFormat/>
    <w:uiPriority w:val="0"/>
    <w:rPr>
      <w:color w:val="FFFFFF"/>
    </w:rPr>
  </w:style>
  <w:style w:type="character" w:customStyle="1" w:styleId="18">
    <w:name w:val="column-name14"/>
    <w:basedOn w:val="6"/>
    <w:qFormat/>
    <w:uiPriority w:val="0"/>
    <w:rPr>
      <w:color w:val="124D83"/>
    </w:rPr>
  </w:style>
  <w:style w:type="character" w:customStyle="1" w:styleId="19">
    <w:name w:val="column-name15"/>
    <w:basedOn w:val="6"/>
    <w:qFormat/>
    <w:uiPriority w:val="0"/>
    <w:rPr>
      <w:color w:val="124D83"/>
    </w:rPr>
  </w:style>
  <w:style w:type="character" w:customStyle="1" w:styleId="20">
    <w:name w:val="column-name16"/>
    <w:basedOn w:val="6"/>
    <w:qFormat/>
    <w:uiPriority w:val="0"/>
    <w:rPr>
      <w:color w:val="124D83"/>
    </w:rPr>
  </w:style>
  <w:style w:type="character" w:customStyle="1" w:styleId="21">
    <w:name w:val="current"/>
    <w:basedOn w:val="6"/>
    <w:qFormat/>
    <w:uiPriority w:val="0"/>
    <w:rPr>
      <w:b/>
    </w:rPr>
  </w:style>
  <w:style w:type="character" w:customStyle="1" w:styleId="22">
    <w:name w:val="页眉 字符"/>
    <w:basedOn w:val="6"/>
    <w:link w:val="3"/>
    <w:qFormat/>
    <w:uiPriority w:val="0"/>
    <w:rPr>
      <w:rFonts w:asciiTheme="minorHAnsi" w:hAnsiTheme="minorHAnsi" w:eastAsiaTheme="minorEastAsia" w:cstheme="minorBidi"/>
      <w:kern w:val="2"/>
      <w:sz w:val="18"/>
      <w:szCs w:val="18"/>
    </w:rPr>
  </w:style>
  <w:style w:type="character" w:customStyle="1" w:styleId="23">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531</Words>
  <Characters>3029</Characters>
  <Lines>25</Lines>
  <Paragraphs>7</Paragraphs>
  <TotalTime>28</TotalTime>
  <ScaleCrop>false</ScaleCrop>
  <LinksUpToDate>false</LinksUpToDate>
  <CharactersWithSpaces>3553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石磊</cp:lastModifiedBy>
  <dcterms:modified xsi:type="dcterms:W3CDTF">2022-01-24T12:05:10Z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4B3D147E91EF4D83B4FAA5078F90E1D3</vt:lpwstr>
  </property>
</Properties>
</file>