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山东农业大学机械与电子工程学院</w:t>
      </w:r>
    </w:p>
    <w:p>
      <w:pPr>
        <w:jc w:val="center"/>
        <w:rPr>
          <w:rFonts w:ascii="方正小标宋简体" w:hAnsi="方正小标宋简体" w:eastAsia="方正小标宋简体" w:cs="方正小标宋简体"/>
          <w:sz w:val="32"/>
          <w:szCs w:val="32"/>
        </w:rPr>
      </w:pPr>
      <w:bookmarkStart w:id="0" w:name="_Hlk61516348"/>
      <w:r>
        <w:rPr>
          <w:rFonts w:hint="eastAsia" w:ascii="方正小标宋简体" w:hAnsi="方正小标宋简体" w:eastAsia="方正小标宋简体" w:cs="方正小标宋简体"/>
          <w:sz w:val="32"/>
          <w:szCs w:val="32"/>
        </w:rPr>
        <w:t>202</w:t>
      </w:r>
      <w:r>
        <w:rPr>
          <w:rFonts w:ascii="方正小标宋简体" w:hAnsi="方正小标宋简体" w:eastAsia="方正小标宋简体" w:cs="方正小标宋简体"/>
          <w:sz w:val="32"/>
          <w:szCs w:val="32"/>
        </w:rPr>
        <w:t>2</w:t>
      </w:r>
      <w:r>
        <w:rPr>
          <w:rFonts w:hint="eastAsia" w:ascii="方正小标宋简体" w:hAnsi="方正小标宋简体" w:eastAsia="方正小标宋简体" w:cs="方正小标宋简体"/>
          <w:sz w:val="32"/>
          <w:szCs w:val="32"/>
        </w:rPr>
        <w:t>年“申请-考核制”招收博士研究生实施方案</w:t>
      </w:r>
      <w:bookmarkEnd w:id="0"/>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年山东农业大学博士研究生招生简章》《山东农业大学202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年“申请-考核制”招收博士研究生实施方案（试行）》相关要求，结合我院实际情况制定202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年“申请-考核制”招收博士研究生实施方案。</w:t>
      </w:r>
    </w:p>
    <w:p>
      <w:pPr>
        <w:ind w:firstLine="560" w:firstLineChars="200"/>
        <w:rPr>
          <w:rFonts w:ascii="黑体" w:hAnsi="黑体" w:eastAsia="黑体" w:cs="黑体"/>
          <w:sz w:val="28"/>
          <w:szCs w:val="28"/>
        </w:rPr>
      </w:pPr>
      <w:r>
        <w:rPr>
          <w:rFonts w:hint="eastAsia" w:ascii="黑体" w:hAnsi="黑体" w:eastAsia="黑体" w:cs="黑体"/>
          <w:sz w:val="28"/>
          <w:szCs w:val="28"/>
        </w:rPr>
        <w:t>一、组织领导</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学院成立由院长为组长、含博士生指导教师的学院招生工作领导小组，根据“申请-考核制”工作要求制定符合本单位学科特点的考核方案，报研究生招生办公室审核备案，并负责领导、组织本单位博士生的申请、考核工作。</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二）学院成立以党委书记为组长的学院博士研究生招生工作监督小组，成员由学院党委副书记、研究生辅导员担任。小组负责本学院“申请-考核”制招生工作实施的监督、检查及违规处理，负责受理考生举报与投诉。 </w:t>
      </w:r>
    </w:p>
    <w:p>
      <w:pPr>
        <w:ind w:firstLine="560" w:firstLineChars="200"/>
        <w:rPr>
          <w:rFonts w:ascii="黑体" w:hAnsi="黑体" w:eastAsia="黑体" w:cs="黑体"/>
          <w:sz w:val="28"/>
          <w:szCs w:val="28"/>
        </w:rPr>
      </w:pPr>
      <w:r>
        <w:rPr>
          <w:rFonts w:hint="eastAsia" w:ascii="黑体" w:hAnsi="黑体" w:eastAsia="黑体" w:cs="黑体"/>
          <w:sz w:val="28"/>
          <w:szCs w:val="28"/>
        </w:rPr>
        <w:t>二、申请条件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以“申请-考核制”方式报考我院博士研究生的申请者，须符合下列条件：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（一）符合我校当年博士生招生简章中公开招考的报考条件。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（二）具有较强的科研创新能力，取得一定科研成果。或科研工作取得重大进展，由相同或相近学科3名博士研究生指导教师推荐（每名博士研究生指导教师只能推荐1名），亦可报名。</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（三）具有较强的语言能力，近五年（201</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年12月至报名系统关闭）英语水平达到以下之一：</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1.CET-6≥426或CET-4≥460；</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2.WSK(PETS 5)考试合格;</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3.IELTS≥6.0;</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4.TOEFL成绩80分及以上(IBT);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5.新GRE成绩260分及以上；</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6.以第一作者身份在英文国际期刊(SCI)上发表过专业学术论文；</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7.在英语为母语的国家或地区获得硕士或博士学位。</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本科至硕士连续在读的应届硕士毕业生，在读期间的四、六级英语成绩不受时间限制。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（四）申请考核制招生原则上仅接受本学科毕业生（含应届）的申请，为鼓励学科交叉，培养复合型人才，可接受相关或相近学科考生的申请。</w:t>
      </w:r>
    </w:p>
    <w:p>
      <w:pPr>
        <w:ind w:firstLine="560" w:firstLineChars="200"/>
        <w:rPr>
          <w:rFonts w:ascii="黑体" w:hAnsi="黑体" w:eastAsia="黑体" w:cs="黑体"/>
          <w:sz w:val="28"/>
          <w:szCs w:val="28"/>
        </w:rPr>
      </w:pPr>
      <w:r>
        <w:rPr>
          <w:rFonts w:hint="eastAsia" w:ascii="黑体" w:hAnsi="黑体" w:eastAsia="黑体" w:cs="黑体"/>
          <w:sz w:val="28"/>
          <w:szCs w:val="28"/>
        </w:rPr>
        <w:t>三、申请材料</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（一）《山东农业大学202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年“申请-考核制”博士研究生申请表》，一式七份。</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（二）本人有效身份证和学生证（往届生不提供学生证）原件及复印件。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本科毕业证、学位证和研究生毕业证、学位证原件及复印件（应届毕业硕士生提交所在学校研究生管理部门出具的在校生证明，本校学生可不提供），教育部学历电子注册备案表（本科和硕士学历，学信网打印）；应届硕士生的硕士阶段学历学位材料可只提交硕士研究生学籍电子注册备案表（学信网打印）。在国外获得学位的须提供教育部留学服务中心出具的认证书复印件，在审核前尚未取得认证书的国外学位不予承认。</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（四）英语水平证书或成绩单。</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（五）研究生阶段成绩单。由申请者所在学校研究生培养部门提供，并加盖公章；非应届毕业生也可由申请者档案所在部门提供，并加盖公章。</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（六）获奖证书、课题、发明专利、已发表（录用）论文等的原件或其它可以证明考生科研能力和水平的证明材料。</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（七）往届生提供硕士学位论文全文（含答辩情况表和答辩决议书复印件）；应届毕业硕士生可提供论文开题报告、论文摘要和核心研究内容等。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（八）个人陈述书（3000-5000字）：内容包括学习及学术研究的简要经历、经验、能力、特别成就及其他原创性研究成果、攻读博士学位期间本人拟从事的研究方向和科研设想。</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（九）下载并填写《山东农业大学报考攻读202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年博士学位研究生思想政治品德考核表》，未就业人员加盖档案保管单位公章，应届生加盖所在学院党委公章。</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（十）专家推荐信：</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1.取得一定科研成果的考生，提供2名所报考学科专业领域内教授（或相当于教授)及以上职称专家推荐书，</w:t>
      </w:r>
      <w:r>
        <w:rPr>
          <w:rFonts w:hint="eastAsia" w:ascii="仿宋_GB2312" w:hAnsi="仿宋_GB2312" w:eastAsia="仿宋_GB2312" w:cs="仿宋_GB2312"/>
          <w:b/>
          <w:bCs/>
          <w:sz w:val="28"/>
          <w:szCs w:val="28"/>
        </w:rPr>
        <w:t>其中一封必须为报考导师出具的推荐书</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2.科研工作取得重大进展为条件报名的考生，需要提供相同或相近学科3名博士研究生指导教师推荐信，</w:t>
      </w:r>
      <w:r>
        <w:rPr>
          <w:rFonts w:hint="eastAsia" w:ascii="仿宋_GB2312" w:hAnsi="仿宋_GB2312" w:eastAsia="仿宋_GB2312" w:cs="仿宋_GB2312"/>
          <w:b/>
          <w:bCs/>
          <w:sz w:val="28"/>
          <w:szCs w:val="28"/>
        </w:rPr>
        <w:t>其中一封必须为报考导师出具的推荐书</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（十一）二级甲等及以上医院出具的体检合格证明（近三个月）。</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申请人应仔细核对本人是否符合申请条件，如实提供上述所列申请材料。如发现申请人提交虚假材料、作弊及其它违纪行为，将根据学校规定严肃处理，包括取消录取资格、3年内禁止报考等，相关后果由申请人承担。</w:t>
      </w:r>
    </w:p>
    <w:p>
      <w:pPr>
        <w:ind w:firstLine="560" w:firstLineChars="200"/>
        <w:rPr>
          <w:rFonts w:ascii="黑体" w:hAnsi="黑体" w:eastAsia="黑体" w:cs="黑体"/>
          <w:sz w:val="28"/>
          <w:szCs w:val="28"/>
        </w:rPr>
      </w:pPr>
      <w:r>
        <w:rPr>
          <w:rFonts w:hint="eastAsia" w:ascii="黑体" w:hAnsi="黑体" w:eastAsia="黑体" w:cs="黑体"/>
          <w:sz w:val="28"/>
          <w:szCs w:val="28"/>
        </w:rPr>
        <w:t>四、招生导师与招生指标</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（一）招生导师</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刘雪美、苑进、刘平、闫银发</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（二）招生指标</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人</w:t>
      </w:r>
    </w:p>
    <w:p>
      <w:pPr>
        <w:ind w:firstLine="560" w:firstLineChars="200"/>
        <w:rPr>
          <w:rFonts w:ascii="黑体" w:hAnsi="黑体" w:eastAsia="黑体" w:cs="黑体"/>
          <w:sz w:val="28"/>
          <w:szCs w:val="28"/>
        </w:rPr>
      </w:pPr>
      <w:r>
        <w:rPr>
          <w:rFonts w:hint="eastAsia" w:ascii="黑体" w:hAnsi="黑体" w:eastAsia="黑体" w:cs="黑体"/>
          <w:sz w:val="28"/>
          <w:szCs w:val="28"/>
        </w:rPr>
        <w:t>五、初选依据</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导师结合本学科专业的培养要求和申请人的申请材料，审查同意后向</w:t>
      </w:r>
      <w:bookmarkStart w:id="1" w:name="_Hlk61528239"/>
      <w:r>
        <w:rPr>
          <w:rFonts w:hint="eastAsia" w:ascii="仿宋_GB2312" w:hAnsi="仿宋_GB2312" w:eastAsia="仿宋_GB2312" w:cs="仿宋_GB2312"/>
          <w:sz w:val="28"/>
          <w:szCs w:val="28"/>
        </w:rPr>
        <w:t>学院招生工作领导小组</w:t>
      </w:r>
      <w:bookmarkEnd w:id="1"/>
      <w:r>
        <w:rPr>
          <w:rFonts w:hint="eastAsia" w:ascii="仿宋_GB2312" w:hAnsi="仿宋_GB2312" w:eastAsia="仿宋_GB2312" w:cs="仿宋_GB2312"/>
          <w:sz w:val="28"/>
          <w:szCs w:val="28"/>
        </w:rPr>
        <w:t>推荐考核名单，学院招生工作领导小组对申请人材料进行审核，审核分为形式审核和学术审核两部分。</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形式审核：对申请人材料进行真实性、完备性、规范性等方面的审核。不符合学校、学院基本申请条件者，终止申请程序。</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学术审核：对申请人材料进行学术审核，重点审查其学位论文、发表的学术论文、论文开题报告（应届硕士毕业生）、个人陈述书、专利、专家推荐信、研究生学习成绩单以及获奖情况等。全面评价申请者的道德水平、科研能力和培养潜力。</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学院招生工作领导小组综合申请人材料和导师报送的推荐名单，按不超过招生人数1：3的比例通过票决方式拟定考核名单，</w:t>
      </w:r>
      <w:r>
        <w:rPr>
          <w:rFonts w:hint="eastAsia" w:ascii="仿宋_GB2312" w:hAnsi="仿宋_GB2312" w:eastAsia="仿宋_GB2312" w:cs="仿宋_GB2312"/>
          <w:sz w:val="28"/>
          <w:szCs w:val="28"/>
          <w:lang w:val="en-US" w:eastAsia="zh-CN"/>
        </w:rPr>
        <w:t>然后将考核名单报研招办审核，审核通过的</w:t>
      </w:r>
      <w:r>
        <w:rPr>
          <w:rFonts w:hint="eastAsia" w:ascii="仿宋_GB2312" w:hAnsi="仿宋_GB2312" w:eastAsia="仿宋_GB2312" w:cs="仿宋_GB2312"/>
          <w:sz w:val="28"/>
          <w:szCs w:val="28"/>
        </w:rPr>
        <w:t>考核名单在学院网页上进行公布不少于三天。</w:t>
      </w:r>
    </w:p>
    <w:p>
      <w:pPr>
        <w:ind w:firstLine="560" w:firstLineChars="200"/>
        <w:rPr>
          <w:rFonts w:ascii="黑体" w:hAnsi="黑体" w:eastAsia="黑体" w:cs="黑体"/>
          <w:sz w:val="28"/>
          <w:szCs w:val="28"/>
        </w:rPr>
      </w:pPr>
      <w:r>
        <w:rPr>
          <w:rFonts w:hint="eastAsia" w:ascii="黑体" w:hAnsi="黑体" w:eastAsia="黑体" w:cs="黑体"/>
          <w:sz w:val="28"/>
          <w:szCs w:val="28"/>
        </w:rPr>
        <w:t>六、参考书目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843"/>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rPr>
                <w:rFonts w:ascii="仿宋_GB2312" w:hAnsi="仿宋_GB2312" w:eastAsia="仿宋_GB2312" w:cs="仿宋_GB2312"/>
                <w:b/>
                <w:bCs/>
                <w:sz w:val="24"/>
                <w:szCs w:val="28"/>
              </w:rPr>
            </w:pPr>
            <w:r>
              <w:rPr>
                <w:rFonts w:hint="eastAsia" w:ascii="仿宋_GB2312" w:hAnsi="仿宋_GB2312" w:eastAsia="仿宋_GB2312" w:cs="仿宋_GB2312"/>
                <w:b/>
                <w:bCs/>
                <w:sz w:val="24"/>
                <w:szCs w:val="28"/>
              </w:rPr>
              <w:t>序号</w:t>
            </w:r>
          </w:p>
        </w:tc>
        <w:tc>
          <w:tcPr>
            <w:tcW w:w="1843" w:type="dxa"/>
          </w:tcPr>
          <w:p>
            <w:pPr>
              <w:rPr>
                <w:rFonts w:ascii="仿宋_GB2312" w:hAnsi="仿宋_GB2312" w:eastAsia="仿宋_GB2312" w:cs="仿宋_GB2312"/>
                <w:b/>
                <w:bCs/>
                <w:sz w:val="24"/>
                <w:szCs w:val="28"/>
              </w:rPr>
            </w:pPr>
            <w:r>
              <w:rPr>
                <w:rFonts w:hint="eastAsia" w:ascii="仿宋_GB2312" w:hAnsi="仿宋_GB2312" w:eastAsia="仿宋_GB2312" w:cs="仿宋_GB2312"/>
                <w:b/>
                <w:bCs/>
                <w:sz w:val="24"/>
                <w:szCs w:val="28"/>
              </w:rPr>
              <w:t>考试科目</w:t>
            </w:r>
          </w:p>
        </w:tc>
        <w:tc>
          <w:tcPr>
            <w:tcW w:w="4870" w:type="dxa"/>
          </w:tcPr>
          <w:p>
            <w:pPr>
              <w:rPr>
                <w:rFonts w:ascii="仿宋_GB2312" w:hAnsi="仿宋_GB2312" w:eastAsia="仿宋_GB2312" w:cs="仿宋_GB2312"/>
                <w:b/>
                <w:bCs/>
                <w:sz w:val="24"/>
                <w:szCs w:val="28"/>
              </w:rPr>
            </w:pPr>
            <w:r>
              <w:rPr>
                <w:rFonts w:hint="eastAsia" w:ascii="仿宋_GB2312" w:hAnsi="仿宋_GB2312" w:eastAsia="仿宋_GB2312" w:cs="仿宋_GB2312"/>
                <w:b/>
                <w:bCs/>
                <w:sz w:val="24"/>
                <w:szCs w:val="28"/>
              </w:rPr>
              <w:t>参考书目（如有疑问，请咨询报考学院）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rPr>
                <w:rFonts w:ascii="仿宋_GB2312" w:hAnsi="仿宋_GB2312" w:eastAsia="仿宋_GB2312" w:cs="仿宋_GB2312"/>
                <w:sz w:val="24"/>
                <w:szCs w:val="28"/>
              </w:rPr>
            </w:pPr>
            <w:r>
              <w:rPr>
                <w:rFonts w:ascii="仿宋_GB2312" w:hAnsi="仿宋_GB2312" w:eastAsia="仿宋_GB2312" w:cs="仿宋_GB2312"/>
                <w:sz w:val="24"/>
                <w:szCs w:val="28"/>
              </w:rPr>
              <w:t>1</w:t>
            </w:r>
          </w:p>
        </w:tc>
        <w:tc>
          <w:tcPr>
            <w:tcW w:w="1843" w:type="dxa"/>
          </w:tcPr>
          <w:p>
            <w:pPr>
              <w:rPr>
                <w:rFonts w:ascii="仿宋_GB2312" w:hAnsi="仿宋_GB2312" w:eastAsia="仿宋_GB2312" w:cs="仿宋_GB2312"/>
                <w:sz w:val="24"/>
                <w:szCs w:val="28"/>
              </w:rPr>
            </w:pPr>
            <w:r>
              <w:rPr>
                <w:rFonts w:hint="eastAsia" w:ascii="仿宋_GB2312" w:hAnsi="仿宋_GB2312" w:eastAsia="仿宋_GB2312" w:cs="仿宋_GB2312"/>
                <w:sz w:val="24"/>
                <w:szCs w:val="28"/>
              </w:rPr>
              <w:t>自动控制原理</w:t>
            </w:r>
          </w:p>
        </w:tc>
        <w:tc>
          <w:tcPr>
            <w:tcW w:w="4870" w:type="dxa"/>
          </w:tcPr>
          <w:p>
            <w:pPr>
              <w:rPr>
                <w:rFonts w:ascii="仿宋_GB2312" w:hAnsi="仿宋_GB2312" w:eastAsia="仿宋_GB2312" w:cs="仿宋_GB2312"/>
                <w:sz w:val="24"/>
                <w:szCs w:val="28"/>
              </w:rPr>
            </w:pPr>
            <w:r>
              <w:rPr>
                <w:rFonts w:hint="eastAsia" w:ascii="仿宋_GB2312" w:hAnsi="仿宋_GB2312" w:eastAsia="仿宋_GB2312" w:cs="仿宋_GB2312"/>
                <w:sz w:val="24"/>
                <w:szCs w:val="28"/>
              </w:rPr>
              <w:t>《自动控制原理》胡寿松主编（第五版），科学出版社，2007年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rPr>
                <w:rFonts w:ascii="仿宋_GB2312" w:hAnsi="仿宋_GB2312" w:eastAsia="仿宋_GB2312" w:cs="仿宋_GB2312"/>
                <w:sz w:val="24"/>
                <w:szCs w:val="28"/>
              </w:rPr>
            </w:pPr>
            <w:r>
              <w:rPr>
                <w:rFonts w:ascii="仿宋_GB2312" w:hAnsi="仿宋_GB2312" w:eastAsia="仿宋_GB2312" w:cs="仿宋_GB2312"/>
                <w:sz w:val="24"/>
                <w:szCs w:val="28"/>
              </w:rPr>
              <w:t>2</w:t>
            </w:r>
          </w:p>
        </w:tc>
        <w:tc>
          <w:tcPr>
            <w:tcW w:w="1843" w:type="dxa"/>
          </w:tcPr>
          <w:p>
            <w:pPr>
              <w:rPr>
                <w:rFonts w:ascii="仿宋_GB2312" w:hAnsi="仿宋_GB2312" w:eastAsia="仿宋_GB2312" w:cs="仿宋_GB2312"/>
                <w:sz w:val="24"/>
                <w:szCs w:val="28"/>
              </w:rPr>
            </w:pPr>
            <w:r>
              <w:rPr>
                <w:rFonts w:hint="eastAsia" w:ascii="仿宋_GB2312" w:hAnsi="仿宋_GB2312" w:eastAsia="仿宋_GB2312" w:cs="仿宋_GB2312"/>
                <w:sz w:val="24"/>
                <w:szCs w:val="28"/>
              </w:rPr>
              <w:t>高等农业机械学</w:t>
            </w:r>
          </w:p>
        </w:tc>
        <w:tc>
          <w:tcPr>
            <w:tcW w:w="4870" w:type="dxa"/>
          </w:tcPr>
          <w:p>
            <w:pPr>
              <w:rPr>
                <w:rFonts w:ascii="仿宋_GB2312" w:hAnsi="仿宋_GB2312" w:eastAsia="仿宋_GB2312" w:cs="仿宋_GB2312"/>
                <w:sz w:val="24"/>
                <w:szCs w:val="28"/>
              </w:rPr>
            </w:pPr>
            <w:r>
              <w:rPr>
                <w:rFonts w:hint="eastAsia" w:ascii="仿宋_GB2312" w:hAnsi="仿宋_GB2312" w:eastAsia="仿宋_GB2312" w:cs="仿宋_GB2312"/>
                <w:sz w:val="24"/>
                <w:szCs w:val="28"/>
              </w:rPr>
              <w:t>《农业机械学》（上、下）李宝筏主编（第一版），中国农业大学出版社，2003年</w:t>
            </w:r>
          </w:p>
        </w:tc>
      </w:tr>
    </w:tbl>
    <w:p>
      <w:pPr>
        <w:ind w:firstLine="560" w:firstLineChars="200"/>
        <w:rPr>
          <w:rFonts w:ascii="黑体" w:hAnsi="黑体" w:eastAsia="黑体" w:cs="黑体"/>
          <w:sz w:val="28"/>
          <w:szCs w:val="28"/>
        </w:rPr>
      </w:pPr>
      <w:r>
        <w:rPr>
          <w:rFonts w:hint="eastAsia" w:ascii="黑体" w:hAnsi="黑体" w:eastAsia="黑体" w:cs="黑体"/>
          <w:sz w:val="28"/>
          <w:szCs w:val="28"/>
        </w:rPr>
        <w:t>七、考核安排</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学院成立考核工作小组（成员为博士研究生指导教师，不少于7人，其中4人为非本院博士生指导教师），负责对申请人申请材料进行综合评定，采取面试笔试相结合的方式对申请者进行英语水平、专业能力及综合素质考核。</w:t>
      </w:r>
    </w:p>
    <w:p>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w:t>
      </w:r>
      <w:r>
        <w:rPr>
          <w:rFonts w:ascii="仿宋_GB2312" w:hAnsi="仿宋_GB2312" w:eastAsia="仿宋_GB2312" w:cs="仿宋_GB2312"/>
          <w:b/>
          <w:sz w:val="28"/>
          <w:szCs w:val="28"/>
        </w:rPr>
        <w:t>.</w:t>
      </w:r>
      <w:r>
        <w:rPr>
          <w:rFonts w:hint="eastAsia" w:ascii="仿宋_GB2312" w:hAnsi="仿宋_GB2312" w:eastAsia="仿宋_GB2312" w:cs="仿宋_GB2312"/>
          <w:b/>
          <w:sz w:val="28"/>
          <w:szCs w:val="28"/>
        </w:rPr>
        <w:t>考核内容</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（1）英语水平考核：主要考核申请者外语水平及专业外语掌握及使用能力(含文献阅读、摘要写作、口语和听力等）。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专业能力考核：专业能力考核针对本专业招生目录中公布的笔试科目进行考核（参考书目见附件），充分考察申请人对本学科前沿知识及最新研究动态掌握情况、综合运用所学知识能力、科研能力、培养潜质及是否具有创新精神和创造能力等，考核方式（笔试或其他形式测试）视2</w:t>
      </w:r>
      <w:r>
        <w:rPr>
          <w:rFonts w:ascii="仿宋_GB2312" w:hAnsi="仿宋_GB2312" w:eastAsia="仿宋_GB2312" w:cs="仿宋_GB2312"/>
          <w:sz w:val="28"/>
          <w:szCs w:val="28"/>
        </w:rPr>
        <w:t>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年国家和山东省疫情发展情况确定，将在学院网站及时公布并通</w:t>
      </w:r>
      <w:bookmarkStart w:id="2" w:name="_GoBack"/>
      <w:bookmarkEnd w:id="2"/>
      <w:r>
        <w:rPr>
          <w:rFonts w:hint="eastAsia" w:ascii="仿宋_GB2312" w:hAnsi="仿宋_GB2312" w:eastAsia="仿宋_GB2312" w:cs="仿宋_GB2312"/>
          <w:sz w:val="28"/>
          <w:szCs w:val="28"/>
        </w:rPr>
        <w:t>知每位符合条件的申请者。</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综合素质考核：主要考核申请者近五年内已取得的科研成果情况；审阅申请者攻读博士学位期间的科研计划书；考查申请者科研思维、分析解决科研问题能力及独立开展科学研究等培养潜质情况，还包括申请者思想政治表现、学习（工作）态度、学术道德、专业伦理、诚实守信、语言表达和礼仪以及心理状况等方面。</w:t>
      </w:r>
    </w:p>
    <w:p>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2.考核时间及方式</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考核时间、考核方式及考核地点等将在学院网站公布并及时通知每位符合条件的申请者。若考核方式采用笔试，按标准化考试考务操作，考试单科时长为2小时；若考核方式采用面试，考核时间不低于</w:t>
      </w:r>
      <w:r>
        <w:rPr>
          <w:rFonts w:ascii="仿宋_GB2312" w:hAnsi="仿宋_GB2312" w:eastAsia="仿宋_GB2312" w:cs="仿宋_GB2312"/>
          <w:sz w:val="28"/>
          <w:szCs w:val="28"/>
        </w:rPr>
        <w:t>45</w:t>
      </w:r>
      <w:r>
        <w:rPr>
          <w:rFonts w:hint="eastAsia" w:ascii="仿宋_GB2312" w:hAnsi="仿宋_GB2312" w:eastAsia="仿宋_GB2312" w:cs="仿宋_GB2312"/>
          <w:sz w:val="28"/>
          <w:szCs w:val="28"/>
        </w:rPr>
        <w:t>分钟，其中考生PPT汇报时间为15分钟，专家考核时间不少于30分钟。申请人PPT内容主要包括个人基本情况、科研业绩、博士期间的研修计划等。</w:t>
      </w:r>
    </w:p>
    <w:p>
      <w:pPr>
        <w:ind w:firstLine="562" w:firstLineChars="200"/>
        <w:rPr>
          <w:rFonts w:ascii="仿宋_GB2312" w:hAnsi="仿宋_GB2312" w:eastAsia="仿宋_GB2312" w:cs="仿宋_GB2312"/>
          <w:b/>
          <w:sz w:val="28"/>
          <w:szCs w:val="28"/>
        </w:rPr>
      </w:pPr>
      <w:r>
        <w:rPr>
          <w:rFonts w:ascii="仿宋_GB2312" w:hAnsi="仿宋_GB2312" w:eastAsia="仿宋_GB2312" w:cs="仿宋_GB2312"/>
          <w:b/>
          <w:sz w:val="28"/>
          <w:szCs w:val="28"/>
        </w:rPr>
        <w:t>3.</w:t>
      </w:r>
      <w:r>
        <w:rPr>
          <w:rFonts w:hint="eastAsia" w:ascii="仿宋_GB2312" w:hAnsi="仿宋_GB2312" w:eastAsia="仿宋_GB2312" w:cs="仿宋_GB2312"/>
          <w:b/>
          <w:sz w:val="28"/>
          <w:szCs w:val="28"/>
        </w:rPr>
        <w:t>考核标准</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（1）英语水平、专业能力考核和综合素质考核成绩满分均为100分，低于60分不予录取。</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（2）考核工作小组每位成员对申请人的表现独立打分，凡是主观打分的都要采取去掉一个最高分、去掉一个最低分、然后求平均分的计分方式。</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（3）考核总成绩折算办法：</w:t>
      </w:r>
    </w:p>
    <w:p>
      <w:pPr>
        <w:ind w:firstLine="448" w:firstLineChars="200"/>
        <w:rPr>
          <w:rFonts w:ascii="仿宋_GB2312" w:hAnsi="仿宋_GB2312" w:eastAsia="仿宋_GB2312" w:cs="仿宋_GB2312"/>
          <w:w w:val="80"/>
          <w:sz w:val="28"/>
          <w:szCs w:val="28"/>
        </w:rPr>
      </w:pPr>
      <w:r>
        <w:rPr>
          <w:rFonts w:hint="eastAsia" w:ascii="仿宋_GB2312" w:hAnsi="仿宋_GB2312" w:eastAsia="仿宋_GB2312" w:cs="仿宋_GB2312"/>
          <w:w w:val="80"/>
          <w:sz w:val="28"/>
          <w:szCs w:val="28"/>
        </w:rPr>
        <w:t>考核总成绩=英语水平×20%+专业能力考核×60%+综合素质考核×20%</w:t>
      </w:r>
    </w:p>
    <w:p>
      <w:pPr>
        <w:ind w:firstLine="560" w:firstLineChars="200"/>
        <w:rPr>
          <w:rFonts w:ascii="黑体" w:hAnsi="黑体" w:eastAsia="黑体" w:cs="黑体"/>
          <w:sz w:val="28"/>
          <w:szCs w:val="28"/>
        </w:rPr>
      </w:pPr>
      <w:r>
        <w:rPr>
          <w:rFonts w:hint="eastAsia" w:ascii="黑体" w:hAnsi="黑体" w:eastAsia="黑体" w:cs="黑体"/>
          <w:sz w:val="28"/>
          <w:szCs w:val="28"/>
        </w:rPr>
        <w:t>八、录取原则</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（一）录取时以报考导师为单位，按考核成绩由高到低排序，低于 60 分者不予录取。</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（二）各学院招生工作小组根据招生计划，综合考生申请材料审查和评价结果、专家考核情况等做出综合判断，按照本学院考核办法确定拟录取名单。</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研究生招生办公室审核汇总后报学校研究生招生工作小组审定，并对审定后的名单进行公示，公示无异议并报教育部审核通过后，确定录取资格。未经学校研究生招生工作小组审定的名单，导师和学院不得向申请人承诺录取。</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以“申请-考核”方式录取的博士研究生录取方式为全日制非定向，攻读博士学位期间不得随意变更专业和导师。考生须在规定时间内将本人人事档案、工资关系转入我校。对不能按学校要求在规定时间内将档案、工资关系转入我校的，将取消拟录取资格。</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（五）通过“申请-考核制”选拔的博士研究生学习年限、毕业就业、缴纳学费政策及奖、助学金政策与其他全日制博士研究生相同。</w:t>
      </w:r>
    </w:p>
    <w:p>
      <w:pPr>
        <w:ind w:firstLine="560" w:firstLineChars="200"/>
        <w:rPr>
          <w:rFonts w:ascii="黑体" w:hAnsi="黑体" w:eastAsia="黑体" w:cs="黑体"/>
          <w:sz w:val="28"/>
          <w:szCs w:val="28"/>
        </w:rPr>
      </w:pPr>
      <w:r>
        <w:rPr>
          <w:rFonts w:hint="eastAsia" w:ascii="黑体" w:hAnsi="黑体" w:eastAsia="黑体" w:cs="黑体"/>
          <w:sz w:val="28"/>
          <w:szCs w:val="28"/>
        </w:rPr>
        <w:t xml:space="preserve"> 九、其他</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本规定归山东农业大学机械与电子工程学院招生工作领导小组解释。</w:t>
      </w:r>
    </w:p>
    <w:p>
      <w:pPr>
        <w:rPr>
          <w:rFonts w:ascii="仿宋_GB2312" w:hAnsi="仿宋_GB2312" w:eastAsia="仿宋_GB2312" w:cs="仿宋_GB2312"/>
          <w:sz w:val="28"/>
          <w:szCs w:val="28"/>
        </w:rPr>
      </w:pPr>
    </w:p>
    <w:p>
      <w:pPr>
        <w:ind w:firstLine="5600" w:firstLineChars="2000"/>
        <w:rPr>
          <w:rFonts w:ascii="仿宋_GB2312" w:hAnsi="仿宋_GB2312" w:eastAsia="仿宋_GB2312" w:cs="仿宋_GB2312"/>
          <w:sz w:val="28"/>
          <w:szCs w:val="28"/>
        </w:rPr>
      </w:pPr>
      <w:r>
        <w:rPr>
          <w:rFonts w:hint="eastAsia" w:ascii="仿宋_GB2312" w:hAnsi="仿宋_GB2312" w:eastAsia="仿宋_GB2312" w:cs="仿宋_GB2312"/>
          <w:sz w:val="28"/>
          <w:szCs w:val="28"/>
        </w:rPr>
        <w:t>机械与电子工程学院</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2022</w:t>
      </w:r>
      <w:r>
        <w:rPr>
          <w:rFonts w:hint="eastAsia" w:ascii="仿宋_GB2312" w:hAnsi="仿宋_GB2312" w:eastAsia="仿宋_GB2312" w:cs="仿宋_GB2312"/>
          <w:sz w:val="28"/>
          <w:szCs w:val="28"/>
        </w:rPr>
        <w:t>年1月4日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705F7"/>
    <w:rsid w:val="00092AA5"/>
    <w:rsid w:val="000E07E5"/>
    <w:rsid w:val="001508EC"/>
    <w:rsid w:val="002623E4"/>
    <w:rsid w:val="00367E3F"/>
    <w:rsid w:val="003B5E55"/>
    <w:rsid w:val="003C14F3"/>
    <w:rsid w:val="004922DA"/>
    <w:rsid w:val="004E6DE1"/>
    <w:rsid w:val="0053696C"/>
    <w:rsid w:val="00550D45"/>
    <w:rsid w:val="0058452A"/>
    <w:rsid w:val="005A142F"/>
    <w:rsid w:val="005D2F65"/>
    <w:rsid w:val="00641FFE"/>
    <w:rsid w:val="006B6E09"/>
    <w:rsid w:val="006E328C"/>
    <w:rsid w:val="0071514C"/>
    <w:rsid w:val="0079003D"/>
    <w:rsid w:val="007921AC"/>
    <w:rsid w:val="007F30F5"/>
    <w:rsid w:val="008879FD"/>
    <w:rsid w:val="008D3329"/>
    <w:rsid w:val="00AB661A"/>
    <w:rsid w:val="00C740A4"/>
    <w:rsid w:val="00CD7071"/>
    <w:rsid w:val="00CE5201"/>
    <w:rsid w:val="00CF04E2"/>
    <w:rsid w:val="00D92BBB"/>
    <w:rsid w:val="00EA124D"/>
    <w:rsid w:val="00EE4523"/>
    <w:rsid w:val="00F146D2"/>
    <w:rsid w:val="00FC42D9"/>
    <w:rsid w:val="026A303C"/>
    <w:rsid w:val="02F649E0"/>
    <w:rsid w:val="03760D16"/>
    <w:rsid w:val="03782B9E"/>
    <w:rsid w:val="059705F7"/>
    <w:rsid w:val="05D8040B"/>
    <w:rsid w:val="068330E9"/>
    <w:rsid w:val="06EB0930"/>
    <w:rsid w:val="070405FE"/>
    <w:rsid w:val="075D2605"/>
    <w:rsid w:val="0847730B"/>
    <w:rsid w:val="09471E63"/>
    <w:rsid w:val="09927918"/>
    <w:rsid w:val="09EC122D"/>
    <w:rsid w:val="0AE60B8A"/>
    <w:rsid w:val="0B7A5120"/>
    <w:rsid w:val="0DC41DBD"/>
    <w:rsid w:val="0DDE105B"/>
    <w:rsid w:val="10855409"/>
    <w:rsid w:val="11523949"/>
    <w:rsid w:val="11DA3DD7"/>
    <w:rsid w:val="1481070A"/>
    <w:rsid w:val="15124E65"/>
    <w:rsid w:val="16174744"/>
    <w:rsid w:val="174C5DD6"/>
    <w:rsid w:val="1B5328A0"/>
    <w:rsid w:val="1BF430FE"/>
    <w:rsid w:val="1DB41844"/>
    <w:rsid w:val="1F011D5B"/>
    <w:rsid w:val="1F2338C0"/>
    <w:rsid w:val="20093CA0"/>
    <w:rsid w:val="20E13052"/>
    <w:rsid w:val="210E3E52"/>
    <w:rsid w:val="261270B1"/>
    <w:rsid w:val="2705454C"/>
    <w:rsid w:val="2B5B6946"/>
    <w:rsid w:val="2C62139E"/>
    <w:rsid w:val="2D144DC9"/>
    <w:rsid w:val="2D310468"/>
    <w:rsid w:val="2E901246"/>
    <w:rsid w:val="33D95B6D"/>
    <w:rsid w:val="3B5C5896"/>
    <w:rsid w:val="3E013A6B"/>
    <w:rsid w:val="3EF772F5"/>
    <w:rsid w:val="401B44FF"/>
    <w:rsid w:val="41626531"/>
    <w:rsid w:val="426B1473"/>
    <w:rsid w:val="42DE7530"/>
    <w:rsid w:val="43A83C37"/>
    <w:rsid w:val="4553558C"/>
    <w:rsid w:val="46137930"/>
    <w:rsid w:val="482F4DCA"/>
    <w:rsid w:val="493E335D"/>
    <w:rsid w:val="4E296E80"/>
    <w:rsid w:val="4F8D68B2"/>
    <w:rsid w:val="50407874"/>
    <w:rsid w:val="50B41330"/>
    <w:rsid w:val="5278676F"/>
    <w:rsid w:val="55882EA5"/>
    <w:rsid w:val="5A0329D9"/>
    <w:rsid w:val="5A92673D"/>
    <w:rsid w:val="5E9D7D06"/>
    <w:rsid w:val="5EC576D6"/>
    <w:rsid w:val="60A35501"/>
    <w:rsid w:val="60D76519"/>
    <w:rsid w:val="60EF00FB"/>
    <w:rsid w:val="62B74870"/>
    <w:rsid w:val="63612F0A"/>
    <w:rsid w:val="640A2CD1"/>
    <w:rsid w:val="650738BE"/>
    <w:rsid w:val="66545B81"/>
    <w:rsid w:val="67AF2FE4"/>
    <w:rsid w:val="6821780F"/>
    <w:rsid w:val="685E343E"/>
    <w:rsid w:val="6BB723E3"/>
    <w:rsid w:val="6D467B68"/>
    <w:rsid w:val="6E284F02"/>
    <w:rsid w:val="6E574C96"/>
    <w:rsid w:val="6FCC739D"/>
    <w:rsid w:val="6FF05F36"/>
    <w:rsid w:val="72413F0E"/>
    <w:rsid w:val="7EC25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character" w:customStyle="1" w:styleId="9">
    <w:name w:val="页眉 字符"/>
    <w:basedOn w:val="6"/>
    <w:link w:val="3"/>
    <w:uiPriority w:val="0"/>
    <w:rPr>
      <w:rFonts w:asciiTheme="minorHAnsi" w:hAnsiTheme="minorHAnsi" w:eastAsiaTheme="minorEastAsia" w:cstheme="minorBidi"/>
      <w:kern w:val="2"/>
      <w:sz w:val="18"/>
      <w:szCs w:val="18"/>
    </w:rPr>
  </w:style>
  <w:style w:type="character" w:customStyle="1" w:styleId="10">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528</Words>
  <Characters>3015</Characters>
  <Lines>25</Lines>
  <Paragraphs>7</Paragraphs>
  <TotalTime>319</TotalTime>
  <ScaleCrop>false</ScaleCrop>
  <LinksUpToDate>false</LinksUpToDate>
  <CharactersWithSpaces>3536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2019-10-29T10:36:00Z</dcterms:created>
  <dc:creator>石磊</dc:creator>
  <cp:lastModifiedBy>石磊</cp:lastModifiedBy>
  <cp:lastPrinted>2020-11-13T08:02:00Z</cp:lastPrinted>
  <dcterms:modified xsi:type="dcterms:W3CDTF">2022-01-24T12:14:47Z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96B10602D94B4E21A62B94D3404E9021</vt:lpwstr>
  </property>
</Properties>
</file>