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ascii="微软雅黑" w:hAnsi="微软雅黑" w:eastAsia="微软雅黑" w:cs="微软雅黑"/>
          <w:i w:val="0"/>
          <w:caps w:val="0"/>
          <w:color w:val="3D3D3D"/>
          <w:spacing w:val="0"/>
          <w:sz w:val="21"/>
          <w:szCs w:val="21"/>
        </w:rPr>
      </w:pPr>
      <w:r>
        <w:rPr>
          <w:rStyle w:val="4"/>
          <w:rFonts w:hint="eastAsia" w:ascii="宋体" w:hAnsi="宋体" w:eastAsia="宋体" w:cs="宋体"/>
          <w:b/>
          <w:i w:val="0"/>
          <w:caps w:val="0"/>
          <w:color w:val="3D3D3D"/>
          <w:spacing w:val="0"/>
          <w:sz w:val="24"/>
          <w:szCs w:val="24"/>
          <w:bdr w:val="none" w:color="auto" w:sz="0" w:space="0"/>
          <w:shd w:val="clear" w:fill="FFFFFF"/>
        </w:rPr>
        <w:t>机械与自动控制学院2022年“申请-考核”制博士研究生招生综合考核工作方案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为做好2022年“申请-考核”制博士研究生的招生工作，根据《浙江理工大学2022年“申请-考核”制博士研究生招生办法》，结合我院实际情况制定本工作方案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i w:val="0"/>
          <w:caps w:val="0"/>
          <w:color w:val="3D3D3D"/>
          <w:spacing w:val="0"/>
          <w:sz w:val="24"/>
          <w:szCs w:val="24"/>
          <w:bdr w:val="none" w:color="auto" w:sz="0" w:space="0"/>
          <w:shd w:val="clear" w:fill="FFFFFF"/>
        </w:rPr>
        <w:t>一、工作组织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学院成立博士研究生招生工作小组，负责对本学院博士研究生招生工作的领导和管理。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组  长：李秦川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副组长：鲁玉军  王吴芳（纪委书记）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成  员：陈文华  陈本永  陈建能  朱祖超  李仁旺  吴震宇  潘  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秘  书：马蓓蓓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i w:val="0"/>
          <w:caps w:val="0"/>
          <w:color w:val="3D3D3D"/>
          <w:spacing w:val="0"/>
          <w:sz w:val="24"/>
          <w:szCs w:val="24"/>
          <w:bdr w:val="none" w:color="auto" w:sz="0" w:space="0"/>
          <w:shd w:val="clear" w:fill="FFFFFF"/>
        </w:rPr>
        <w:t>二、综合考核时间和地点</w:t>
      </w:r>
    </w:p>
    <w:tbl>
      <w:tblPr>
        <w:tblW w:w="9448" w:type="dxa"/>
        <w:jc w:val="center"/>
        <w:tblCellSpacing w:w="0" w:type="dxa"/>
        <w:tblInd w:w="-5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70"/>
        <w:gridCol w:w="2885"/>
        <w:gridCol w:w="1122"/>
        <w:gridCol w:w="4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5" w:hRule="atLeast"/>
          <w:tblCellSpacing w:w="0" w:type="dxa"/>
          <w:jc w:val="center"/>
        </w:trPr>
        <w:tc>
          <w:tcPr>
            <w:tcW w:w="107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4"/>
                <w:rFonts w:hint="eastAsia" w:ascii="宋体" w:hAnsi="宋体" w:eastAsia="宋体" w:cs="宋体"/>
                <w:b/>
                <w:sz w:val="21"/>
                <w:szCs w:val="21"/>
                <w:bdr w:val="none" w:color="auto" w:sz="0" w:space="0"/>
              </w:rPr>
              <w:t>招生方式</w:t>
            </w:r>
          </w:p>
        </w:tc>
        <w:tc>
          <w:tcPr>
            <w:tcW w:w="28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4"/>
                <w:rFonts w:hint="eastAsia" w:ascii="宋体" w:hAnsi="宋体" w:eastAsia="宋体" w:cs="宋体"/>
                <w:b/>
                <w:sz w:val="21"/>
                <w:szCs w:val="21"/>
                <w:bdr w:val="none" w:color="auto" w:sz="0" w:space="0"/>
              </w:rPr>
              <w:t>时  间</w:t>
            </w:r>
          </w:p>
        </w:tc>
        <w:tc>
          <w:tcPr>
            <w:tcW w:w="112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4"/>
                <w:rFonts w:hint="eastAsia" w:ascii="宋体" w:hAnsi="宋体" w:eastAsia="宋体" w:cs="宋体"/>
                <w:b/>
                <w:sz w:val="21"/>
                <w:szCs w:val="21"/>
                <w:bdr w:val="none" w:color="auto" w:sz="0" w:space="0"/>
              </w:rPr>
              <w:t>地  点</w:t>
            </w:r>
          </w:p>
        </w:tc>
        <w:tc>
          <w:tcPr>
            <w:tcW w:w="437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4"/>
                <w:rFonts w:hint="eastAsia" w:ascii="宋体" w:hAnsi="宋体" w:eastAsia="宋体" w:cs="宋体"/>
                <w:b/>
                <w:sz w:val="21"/>
                <w:szCs w:val="21"/>
                <w:bdr w:val="none" w:color="auto" w:sz="0" w:space="0"/>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070"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1"/>
                <w:szCs w:val="21"/>
                <w:bdr w:val="none" w:color="auto" w:sz="0" w:space="0"/>
              </w:rPr>
              <w:t>“申请考核”制</w:t>
            </w:r>
          </w:p>
        </w:tc>
        <w:tc>
          <w:tcPr>
            <w:tcW w:w="288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1"/>
                <w:szCs w:val="21"/>
                <w:bdr w:val="none" w:color="auto" w:sz="0" w:space="0"/>
              </w:rPr>
              <w:t>3月5日下午1:30开始</w:t>
            </w:r>
          </w:p>
        </w:tc>
        <w:tc>
          <w:tcPr>
            <w:tcW w:w="112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1"/>
                <w:szCs w:val="21"/>
                <w:bdr w:val="none" w:color="auto" w:sz="0" w:space="0"/>
              </w:rPr>
              <w:t>15-329</w:t>
            </w:r>
          </w:p>
        </w:tc>
        <w:tc>
          <w:tcPr>
            <w:tcW w:w="437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1"/>
                <w:szCs w:val="21"/>
                <w:bdr w:val="none" w:color="auto" w:sz="0" w:space="0"/>
              </w:rPr>
              <w:t>资格审查，同时提交</w:t>
            </w:r>
            <w:r>
              <w:rPr>
                <w:rStyle w:val="4"/>
                <w:rFonts w:hint="eastAsia" w:ascii="宋体" w:hAnsi="宋体" w:eastAsia="宋体" w:cs="宋体"/>
                <w:b/>
                <w:sz w:val="21"/>
                <w:szCs w:val="21"/>
                <w:u w:val="single"/>
                <w:bdr w:val="none" w:color="auto" w:sz="0" w:space="0"/>
              </w:rPr>
              <w:t>一个月内</w:t>
            </w:r>
            <w:r>
              <w:rPr>
                <w:rFonts w:hint="eastAsia" w:ascii="宋体" w:hAnsi="宋体" w:eastAsia="宋体" w:cs="宋体"/>
                <w:sz w:val="21"/>
                <w:szCs w:val="21"/>
                <w:bdr w:val="none" w:color="auto" w:sz="0" w:space="0"/>
              </w:rPr>
              <w:t>二甲及以上医院的体检报告，由校医院进行认定，不再安排统一体检。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07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1"/>
                <w:szCs w:val="21"/>
                <w:bdr w:val="none" w:color="auto" w:sz="0" w:space="0"/>
              </w:rPr>
              <w:t>3月5日下午2:00开始</w:t>
            </w:r>
          </w:p>
        </w:tc>
        <w:tc>
          <w:tcPr>
            <w:tcW w:w="112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1"/>
                <w:szCs w:val="21"/>
                <w:bdr w:val="none" w:color="auto" w:sz="0" w:space="0"/>
              </w:rPr>
              <w:t>15-344</w:t>
            </w:r>
          </w:p>
        </w:tc>
        <w:tc>
          <w:tcPr>
            <w:tcW w:w="437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1"/>
                <w:szCs w:val="21"/>
                <w:bdr w:val="none" w:color="auto" w:sz="0" w:space="0"/>
              </w:rPr>
              <w:t>心理测试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07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1"/>
                <w:szCs w:val="21"/>
                <w:bdr w:val="none" w:color="auto" w:sz="0" w:space="0"/>
              </w:rPr>
              <w:t>3月5日下午2:30-4:30</w:t>
            </w:r>
          </w:p>
        </w:tc>
        <w:tc>
          <w:tcPr>
            <w:tcW w:w="112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1"/>
                <w:szCs w:val="21"/>
                <w:bdr w:val="none" w:color="auto" w:sz="0" w:space="0"/>
              </w:rPr>
              <w:t>3N-104</w:t>
            </w:r>
          </w:p>
        </w:tc>
        <w:tc>
          <w:tcPr>
            <w:tcW w:w="437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1"/>
                <w:szCs w:val="21"/>
                <w:bdr w:val="none" w:color="auto" w:sz="0" w:space="0"/>
              </w:rPr>
              <w:t>英语科技文献阅读与理解（笔试）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blCellSpacing w:w="0" w:type="dxa"/>
          <w:jc w:val="center"/>
        </w:trPr>
        <w:tc>
          <w:tcPr>
            <w:tcW w:w="107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88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sz w:val="21"/>
                <w:szCs w:val="21"/>
                <w:bdr w:val="none" w:color="auto" w:sz="0" w:space="0"/>
              </w:rPr>
              <w:t>3月6日上午9:00开始</w:t>
            </w:r>
          </w:p>
        </w:tc>
        <w:tc>
          <w:tcPr>
            <w:tcW w:w="1122"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9" w:lineRule="atLeast"/>
              <w:ind w:left="0" w:right="0"/>
              <w:jc w:val="center"/>
            </w:pPr>
            <w:r>
              <w:rPr>
                <w:rFonts w:hint="eastAsia" w:ascii="宋体" w:hAnsi="宋体" w:eastAsia="宋体" w:cs="宋体"/>
                <w:sz w:val="21"/>
                <w:szCs w:val="21"/>
                <w:bdr w:val="none" w:color="auto" w:sz="0" w:space="0"/>
              </w:rPr>
              <w:t>15-322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1"/>
                <w:szCs w:val="21"/>
                <w:bdr w:val="none" w:color="auto" w:sz="0" w:space="0"/>
              </w:rPr>
              <w:t>15-308</w:t>
            </w:r>
          </w:p>
        </w:tc>
        <w:tc>
          <w:tcPr>
            <w:tcW w:w="4371"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1"/>
                <w:szCs w:val="21"/>
                <w:bdr w:val="none" w:color="auto" w:sz="0" w:space="0"/>
              </w:rPr>
              <w:t>综合面试包括综合素质面试和英语口试，分组及综合面试地点详见资格审查现场通知。准备5分钟PPT。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资格审查时，请携带身份证原件、硕士学历学位证书原件（在校生携带注册的学生证或学习单位盖章的在校证明）。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i w:val="0"/>
          <w:caps w:val="0"/>
          <w:color w:val="3D3D3D"/>
          <w:spacing w:val="0"/>
          <w:sz w:val="24"/>
          <w:szCs w:val="24"/>
          <w:bdr w:val="none" w:color="auto" w:sz="0" w:space="0"/>
          <w:shd w:val="clear" w:fill="FFFFFF"/>
        </w:rPr>
        <w:t>三、综合考核内容与要求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1.英文科技文献阅读与理解（100分）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主要考核考生的英文文献阅读与理解的能力，以及考生综合运用所学知识的能力等。采取闭卷考试形式，考试时间2小时。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2.综合面试（100分）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综合面试专家组应由本学科不少于5名教授(或研究员)组成，其中博士生导师人数不少于50%，并另设秘书1名。专家组通过面试对考生是否具备博士生培养的潜能和综合素质给出考核意见和成绩。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采用口头汇报与问答方式，全面考查考生英语听力及口语能力、综合运用所学知识的能力、科研创新能力、对本学科前沿领域及最新研究动态掌握情况以及思想、心理素质等。要求每位考生准备5分钟左右的PPT汇报，整个综合面试的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3.</w:t>
      </w:r>
      <w:r>
        <w:rPr>
          <w:rFonts w:hint="eastAsia" w:ascii="微软雅黑" w:hAnsi="微软雅黑" w:eastAsia="微软雅黑" w:cs="微软雅黑"/>
          <w:i w:val="0"/>
          <w:caps w:val="0"/>
          <w:color w:val="3D3D3D"/>
          <w:spacing w:val="0"/>
          <w:sz w:val="21"/>
          <w:szCs w:val="21"/>
          <w:bdr w:val="none" w:color="auto" w:sz="0" w:space="0"/>
          <w:shd w:val="clear" w:fill="FFFFFF"/>
        </w:rPr>
        <w:t> </w:t>
      </w:r>
      <w:r>
        <w:rPr>
          <w:rFonts w:hint="eastAsia" w:ascii="宋体" w:hAnsi="宋体" w:eastAsia="宋体" w:cs="宋体"/>
          <w:i w:val="0"/>
          <w:caps w:val="0"/>
          <w:color w:val="3D3D3D"/>
          <w:spacing w:val="0"/>
          <w:sz w:val="24"/>
          <w:szCs w:val="24"/>
          <w:bdr w:val="none" w:color="auto" w:sz="0" w:space="0"/>
          <w:shd w:val="clear" w:fill="FFFFFF"/>
        </w:rPr>
        <w:t>综合考核成绩计算方法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综合考核成绩＝材料审核成绩×25%＋英文科技文献阅读与理解成绩×25%＋综合面试成绩×50%。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综合考核中任一环节考核不合格者（得分60分以下为不合格）不予录取；思想品德考核不合格者或体检不合格者不予录取。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b/>
          <w:i w:val="0"/>
          <w:caps w:val="0"/>
          <w:color w:val="3D3D3D"/>
          <w:spacing w:val="0"/>
          <w:sz w:val="24"/>
          <w:szCs w:val="24"/>
          <w:bdr w:val="none" w:color="auto" w:sz="0" w:space="0"/>
          <w:shd w:val="clear" w:fill="FFFFFF"/>
        </w:rPr>
        <w:t>四、体检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参加综合考核的考生须在二级甲等及以上医院进行体检，资格审查时提交体检报告。体检标准参照教育部、卫生部、中国残联印发的《普通高等学校招生体检工作指导意见》（教学〔2003〕3号）、《教育部办公厅卫生部办公厅关于普通高等学校招生学生入学身体检查取消乙肝项目检测有关问题的通知》（教学厅〔2010〕2号）文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i w:val="0"/>
          <w:caps w:val="0"/>
          <w:color w:val="3D3D3D"/>
          <w:spacing w:val="0"/>
          <w:sz w:val="24"/>
          <w:szCs w:val="24"/>
          <w:bdr w:val="none" w:color="auto" w:sz="0" w:space="0"/>
          <w:shd w:val="clear" w:fill="FFFFFF"/>
        </w:rPr>
        <w:t>五、疫情防控要求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根据近期疫情防控工作需要，所有参加本次 “申请-考核”制博士研究生招生综合考核的人员须严格按要求做好自身健康防护和进校审批工作。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ascii="等线" w:hAnsi="等线" w:eastAsia="等线" w:cs="等线"/>
          <w:b w:val="0"/>
          <w:i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考生进校要严格实行入校审核、测温、亮码（健康码、访客码）亮卡（行程卡）等制度。14天内有中高风险地区所在县（市、区）旅居史的来校返校人员限制进校。14天内有省外低风险地区旅居史的进校人员，需提交48小时内核酸检测阴性证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等线" w:hAnsi="等线" w:eastAsia="等线" w:cs="等线"/>
          <w:b w:val="0"/>
          <w:i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进校人员需通过识别访客预约申请二维码（见图1），准确填写来访者及被访者相关信息，上传杭州健康码、14天行程码和14天内省外低风险地区的48小时内核酸证明，审批通过后，来访人员通过手机短信中的链接获得访客通行码。</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default" w:ascii="等线" w:hAnsi="等线" w:eastAsia="等线" w:cs="等线"/>
          <w:b w:val="0"/>
          <w:i w:val="0"/>
          <w:color w:val="000000"/>
          <w:sz w:val="21"/>
          <w:szCs w:val="21"/>
        </w:rPr>
      </w:pPr>
      <w:r>
        <w:rPr>
          <w:rFonts w:hint="eastAsia" w:ascii="宋体" w:hAnsi="宋体" w:eastAsia="宋体" w:cs="宋体"/>
          <w:b w:val="0"/>
          <w:i w:val="0"/>
          <w:caps w:val="0"/>
          <w:color w:val="000000"/>
          <w:spacing w:val="0"/>
          <w:sz w:val="24"/>
          <w:szCs w:val="24"/>
          <w:bdr w:val="none" w:color="auto" w:sz="0" w:space="0"/>
          <w:shd w:val="clear" w:fill="FFFFFF"/>
        </w:rPr>
        <w:t>进校码申请时间为3月3日开始申请，进校时间统一填写：3月5日-3月6日；被访人信息填写：机械与自动控制学院 马蓓蓓</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pPr>
    </w:p>
    <w:tbl>
      <w:tblPr>
        <w:tblW w:w="944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46"/>
        <w:gridCol w:w="6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0" w:hRule="atLeast"/>
          <w:tblCellSpacing w:w="0" w:type="dxa"/>
        </w:trPr>
        <w:tc>
          <w:tcPr>
            <w:tcW w:w="304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D3D3D"/>
                <w:spacing w:val="0"/>
                <w:sz w:val="21"/>
                <w:szCs w:val="21"/>
              </w:rPr>
            </w:pPr>
          </w:p>
        </w:tc>
        <w:tc>
          <w:tcPr>
            <w:tcW w:w="640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D3D3D"/>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04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D3D3D"/>
                <w:spacing w:val="0"/>
                <w:sz w:val="21"/>
                <w:szCs w:val="21"/>
              </w:rPr>
            </w:pPr>
          </w:p>
        </w:tc>
        <w:tc>
          <w:tcPr>
            <w:tcW w:w="640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D3D3D"/>
                <w:spacing w:val="0"/>
                <w:sz w:val="21"/>
                <w:szCs w:val="21"/>
              </w:rPr>
            </w:pPr>
            <w:r>
              <w:rPr>
                <w:rFonts w:hint="eastAsia" w:ascii="微软雅黑" w:hAnsi="微软雅黑" w:eastAsia="微软雅黑" w:cs="微软雅黑"/>
                <w:i w:val="0"/>
                <w:caps w:val="0"/>
                <w:color w:val="3D3D3D"/>
                <w:spacing w:val="0"/>
                <w:kern w:val="0"/>
                <w:sz w:val="21"/>
                <w:szCs w:val="21"/>
                <w:bdr w:val="none" w:color="auto" w:sz="0" w:space="0"/>
                <w:lang w:val="en-US" w:eastAsia="zh-CN" w:bidi="ar"/>
              </w:rPr>
              <w:fldChar w:fldCharType="begin"/>
            </w:r>
            <w:r>
              <w:rPr>
                <w:rFonts w:hint="eastAsia" w:ascii="微软雅黑" w:hAnsi="微软雅黑" w:eastAsia="微软雅黑" w:cs="微软雅黑"/>
                <w:i w:val="0"/>
                <w:caps w:val="0"/>
                <w:color w:val="3D3D3D"/>
                <w:spacing w:val="0"/>
                <w:kern w:val="0"/>
                <w:sz w:val="21"/>
                <w:szCs w:val="21"/>
                <w:bdr w:val="none" w:color="auto" w:sz="0" w:space="0"/>
                <w:lang w:val="en-US" w:eastAsia="zh-CN" w:bidi="ar"/>
              </w:rPr>
              <w:instrText xml:space="preserve">INCLUDEPICTURE \d "https://mechanical.zstu.edu.cn/__local/6/0E/97/65BF513D0286F28F6115A444602_F8EF5217_F62D.png" \* MERGEFORMATINET </w:instrText>
            </w:r>
            <w:r>
              <w:rPr>
                <w:rFonts w:hint="eastAsia" w:ascii="微软雅黑" w:hAnsi="微软雅黑" w:eastAsia="微软雅黑" w:cs="微软雅黑"/>
                <w:i w:val="0"/>
                <w:caps w:val="0"/>
                <w:color w:val="3D3D3D"/>
                <w:spacing w:val="0"/>
                <w:kern w:val="0"/>
                <w:sz w:val="21"/>
                <w:szCs w:val="21"/>
                <w:bdr w:val="none" w:color="auto" w:sz="0" w:space="0"/>
                <w:lang w:val="en-US" w:eastAsia="zh-CN" w:bidi="ar"/>
              </w:rPr>
              <w:fldChar w:fldCharType="separate"/>
            </w:r>
            <w:r>
              <w:rPr>
                <w:rFonts w:hint="eastAsia" w:ascii="微软雅黑" w:hAnsi="微软雅黑" w:eastAsia="微软雅黑" w:cs="微软雅黑"/>
                <w:i w:val="0"/>
                <w:caps w:val="0"/>
                <w:color w:val="3D3D3D"/>
                <w:spacing w:val="0"/>
                <w:kern w:val="0"/>
                <w:sz w:val="21"/>
                <w:szCs w:val="21"/>
                <w:bdr w:val="none" w:color="auto" w:sz="0" w:space="0"/>
                <w:lang w:val="en-US" w:eastAsia="zh-CN" w:bidi="ar"/>
              </w:rPr>
              <w:drawing>
                <wp:inline distT="0" distB="0" distL="114300" distR="114300">
                  <wp:extent cx="2000250" cy="23526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2000250" cy="2352675"/>
                          </a:xfrm>
                          <a:prstGeom prst="rect">
                            <a:avLst/>
                          </a:prstGeom>
                          <a:noFill/>
                          <a:ln w="9525">
                            <a:noFill/>
                            <a:miter/>
                          </a:ln>
                        </pic:spPr>
                      </pic:pic>
                    </a:graphicData>
                  </a:graphic>
                </wp:inline>
              </w:drawing>
            </w:r>
            <w:r>
              <w:rPr>
                <w:rFonts w:hint="eastAsia" w:ascii="微软雅黑" w:hAnsi="微软雅黑" w:eastAsia="微软雅黑" w:cs="微软雅黑"/>
                <w:i w:val="0"/>
                <w:caps w:val="0"/>
                <w:color w:val="3D3D3D"/>
                <w:spacing w:val="0"/>
                <w:kern w:val="0"/>
                <w:sz w:val="21"/>
                <w:szCs w:val="21"/>
                <w:bdr w:val="none" w:color="auto" w:sz="0" w:space="0"/>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0"/>
        <w:jc w:val="both"/>
        <w:rPr>
          <w:rFonts w:hint="eastAsia" w:ascii="微软雅黑" w:hAnsi="微软雅黑" w:eastAsia="微软雅黑" w:cs="微软雅黑"/>
          <w:i w:val="0"/>
          <w:caps w:val="0"/>
          <w:color w:val="3D3D3D"/>
          <w:spacing w:val="0"/>
          <w:sz w:val="21"/>
          <w:szCs w:val="21"/>
        </w:rPr>
      </w:pPr>
      <w:r>
        <w:rPr>
          <w:rFonts w:hint="eastAsia" w:ascii="微软雅黑" w:hAnsi="微软雅黑" w:eastAsia="微软雅黑" w:cs="微软雅黑"/>
          <w:i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0"/>
        <w:jc w:val="both"/>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b/>
          <w:i w:val="0"/>
          <w:caps w:val="0"/>
          <w:color w:val="3D3D3D"/>
          <w:spacing w:val="0"/>
          <w:sz w:val="24"/>
          <w:szCs w:val="24"/>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   1.校外访客必须拥有浙江省健康绿码，否则不能显示有效进校码；校外访客必须在有效期内才能打开进校码，提前或者过期则不能打开进校码；以上两种情况皆不可进校。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   2.来访者的姓名、身份证号和手机号码务必填写准确。如未收到申请相关信息提醒，请在微信-通信录-浙江理工大学企业号中进行设置，打开“接收企业消息”；另需关注手机短信是否对访客系统的提示短信进行了拦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Fonts w:hint="eastAsia" w:ascii="微软雅黑" w:hAnsi="微软雅黑" w:eastAsia="微软雅黑" w:cs="微软雅黑"/>
          <w:i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Style w:val="4"/>
          <w:rFonts w:hint="eastAsia" w:ascii="宋体" w:hAnsi="宋体" w:eastAsia="宋体" w:cs="宋体"/>
          <w:i w:val="0"/>
          <w:caps w:val="0"/>
          <w:color w:val="3D3D3D"/>
          <w:spacing w:val="0"/>
          <w:sz w:val="24"/>
          <w:szCs w:val="24"/>
          <w:bdr w:val="none" w:color="auto" w:sz="0" w:space="0"/>
          <w:shd w:val="clear" w:fill="FFFFFF"/>
        </w:rPr>
        <w:t>六、学院招生工作咨询电话：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480"/>
        <w:jc w:val="both"/>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4"/>
          <w:szCs w:val="24"/>
          <w:bdr w:val="none" w:color="auto" w:sz="0" w:space="0"/>
          <w:shd w:val="clear" w:fill="FFFFFF"/>
        </w:rPr>
        <w:t>招生咨询联系人：马老师，咨询电话：0571-86843367，邮箱：jkxyyz@126.com。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3D3D3D"/>
          <w:spacing w:val="0"/>
          <w:sz w:val="21"/>
          <w:szCs w:val="21"/>
        </w:rPr>
      </w:pPr>
      <w:r>
        <w:rPr>
          <w:rFonts w:hint="eastAsia" w:ascii="微软雅黑" w:hAnsi="微软雅黑" w:eastAsia="微软雅黑" w:cs="微软雅黑"/>
          <w:i w:val="0"/>
          <w:caps w:val="0"/>
          <w:color w:val="3D3D3D"/>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9314992">
    <w:nsid w:val="624E8CB0"/>
    <w:multiLevelType w:val="multilevel"/>
    <w:tmpl w:val="624E8CB0"/>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64931499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50F2A"/>
    <w:rsid w:val="7A150F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s://mechanical.zstu.edu.cn/__local/6/0E/97/65BF513D0286F28F6115A444602_F8EF5217_F62D.pn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2022-04-07T06:00:00Z</dcterms:created>
  <dc:creator>HHsxk</dc:creator>
  <cp:lastModifiedBy>HHsxk</cp:lastModifiedBy>
  <dcterms:modified xsi:type="dcterms:W3CDTF">2022-04-07T06:56:11Z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