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0"/>
        <w:jc w:val="both"/>
        <w:rPr>
          <w:rFonts w:ascii="Arial" w:hAnsi="Arial" w:cs="Arial"/>
          <w:i w:val="0"/>
          <w:caps w:val="0"/>
          <w:color w:val="333333"/>
          <w:spacing w:val="0"/>
          <w:sz w:val="21"/>
          <w:szCs w:val="21"/>
        </w:rPr>
      </w:pPr>
      <w:r>
        <w:rPr>
          <w:rFonts w:ascii="仿宋" w:hAnsi="仿宋" w:eastAsia="仿宋" w:cs="仿宋"/>
          <w:i w:val="0"/>
          <w:caps w:val="0"/>
          <w:color w:val="333333"/>
          <w:spacing w:val="0"/>
          <w:kern w:val="0"/>
          <w:sz w:val="28"/>
          <w:szCs w:val="28"/>
          <w:bdr w:val="none" w:color="auto" w:sz="0" w:space="0"/>
          <w:shd w:val="clear" w:fill="FFFFFF"/>
          <w:lang w:val="en-US" w:eastAsia="zh-CN" w:bidi="ar"/>
        </w:rPr>
        <w:t>为进一步深化博士研究生招生考试制度改革，建立与培养目标相适应、有利于选拔拔尖创新人才的招生制度，提高博士研究生招生质量，</w:t>
      </w: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贵州大学地质学博士点根据《教育部国家发展改革委财政部关于深化研究生教育改革的意见》（教研〔2013〕1号）和《贵州大学2022年博士研究生招生章程》的有关规定，结合本院学科特点与实际情况，特制定本实施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0"/>
        <w:jc w:val="left"/>
        <w:rPr>
          <w:rFonts w:hint="default" w:ascii="Arial" w:hAnsi="Arial" w:cs="Arial"/>
          <w:i w:val="0"/>
          <w:caps w:val="0"/>
          <w:color w:val="333333"/>
          <w:spacing w:val="0"/>
          <w:sz w:val="21"/>
          <w:szCs w:val="21"/>
        </w:rPr>
      </w:pPr>
      <w:r>
        <w:rPr>
          <w:rStyle w:val="4"/>
          <w:rFonts w:hint="default" w:ascii="仿宋" w:hAnsi="仿宋" w:eastAsia="仿宋" w:cs="仿宋"/>
          <w:b/>
          <w:i w:val="0"/>
          <w:caps w:val="0"/>
          <w:color w:val="333333"/>
          <w:spacing w:val="0"/>
          <w:kern w:val="0"/>
          <w:sz w:val="28"/>
          <w:szCs w:val="28"/>
          <w:bdr w:val="none" w:color="auto" w:sz="0" w:space="0"/>
          <w:shd w:val="clear" w:fill="FFFFFF"/>
          <w:lang w:val="en-US" w:eastAsia="zh-CN" w:bidi="ar"/>
        </w:rPr>
        <w:t>一、基本原则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both"/>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1.坚持公开、公平、公正的原则，确保录取生源质量。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both"/>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2.全面衡量、科学选拔、择优录取、宁缺毋滥。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both"/>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3.充分尊重导师招生自主权，同时发挥专家组考核作用。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both"/>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4.强化对申请人的创新能力、科研潜力和已获得学术成果等的综合考核，选拔具有创新能力和学术专长的拔尖创新型人才。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0"/>
        <w:jc w:val="left"/>
        <w:rPr>
          <w:rFonts w:hint="default" w:ascii="Arial" w:hAnsi="Arial" w:cs="Arial"/>
          <w:i w:val="0"/>
          <w:caps w:val="0"/>
          <w:color w:val="333333"/>
          <w:spacing w:val="0"/>
          <w:sz w:val="21"/>
          <w:szCs w:val="21"/>
        </w:rPr>
      </w:pPr>
      <w:r>
        <w:rPr>
          <w:rStyle w:val="4"/>
          <w:rFonts w:hint="default" w:ascii="仿宋" w:hAnsi="仿宋" w:eastAsia="仿宋" w:cs="仿宋"/>
          <w:b/>
          <w:i w:val="0"/>
          <w:caps w:val="0"/>
          <w:color w:val="333333"/>
          <w:spacing w:val="0"/>
          <w:kern w:val="0"/>
          <w:sz w:val="28"/>
          <w:szCs w:val="28"/>
          <w:bdr w:val="none" w:color="auto" w:sz="0" w:space="0"/>
          <w:shd w:val="clear" w:fill="FFFFFF"/>
          <w:lang w:val="en-US" w:eastAsia="zh-CN" w:bidi="ar"/>
        </w:rPr>
        <w:t>二、组织领导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0"/>
        <w:jc w:val="left"/>
        <w:rPr>
          <w:rFonts w:hint="default" w:ascii="Arial" w:hAnsi="Arial" w:cs="Arial"/>
          <w:i w:val="0"/>
          <w:caps w:val="0"/>
          <w:color w:val="333333"/>
          <w:spacing w:val="0"/>
          <w:sz w:val="21"/>
          <w:szCs w:val="21"/>
        </w:rPr>
      </w:pPr>
      <w:r>
        <w:rPr>
          <w:rStyle w:val="4"/>
          <w:rFonts w:hint="default" w:ascii="仿宋" w:hAnsi="仿宋" w:eastAsia="仿宋" w:cs="仿宋"/>
          <w:b/>
          <w:i w:val="0"/>
          <w:caps w:val="0"/>
          <w:color w:val="333333"/>
          <w:spacing w:val="0"/>
          <w:kern w:val="0"/>
          <w:sz w:val="28"/>
          <w:szCs w:val="28"/>
          <w:bdr w:val="none" w:color="auto" w:sz="0" w:space="0"/>
          <w:shd w:val="clear" w:fill="FFFFFF"/>
          <w:lang w:val="en-US" w:eastAsia="zh-CN" w:bidi="ar"/>
        </w:rPr>
        <w:t>三、招生专业及招生计划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left"/>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1.资源与环境工程学院2022年博士“申请-考核”制招生专业、导师以《贵州大学2022年博士招生专业目录》公布信息为准。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left"/>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2.资源与环境工程学院2022年博士“申请-考核”制拟招收7人（最终以学校下达的招生计划为准）</w:t>
      </w:r>
    </w:p>
    <w:tbl>
      <w:tblPr>
        <w:tblW w:w="9915" w:type="dxa"/>
        <w:tblInd w:w="90" w:type="dxa"/>
        <w:shd w:val="clear" w:color="auto" w:fill="FFFFFF"/>
        <w:tblLayout w:type="fixed"/>
        <w:tblCellMar>
          <w:top w:w="0" w:type="dxa"/>
          <w:left w:w="0" w:type="dxa"/>
          <w:bottom w:w="0" w:type="dxa"/>
          <w:right w:w="0" w:type="dxa"/>
        </w:tblCellMar>
      </w:tblPr>
      <w:tblGrid>
        <w:gridCol w:w="1080"/>
        <w:gridCol w:w="1080"/>
        <w:gridCol w:w="720"/>
        <w:gridCol w:w="990"/>
        <w:gridCol w:w="900"/>
        <w:gridCol w:w="1590"/>
        <w:gridCol w:w="930"/>
        <w:gridCol w:w="1095"/>
        <w:gridCol w:w="1530"/>
      </w:tblGrid>
      <w:tr>
        <w:tblPrEx>
          <w:shd w:val="clear" w:color="auto" w:fill="FFFFFF"/>
          <w:tblLayout w:type="fixed"/>
          <w:tblCellMar>
            <w:top w:w="0" w:type="dxa"/>
            <w:left w:w="0" w:type="dxa"/>
            <w:bottom w:w="0" w:type="dxa"/>
            <w:right w:w="0" w:type="dxa"/>
          </w:tblCellMar>
        </w:tblPrEx>
        <w:trPr>
          <w:trHeight w:val="1725" w:hRule="atLeast"/>
        </w:trPr>
        <w:tc>
          <w:tcPr>
            <w:tcW w:w="1080" w:type="dxa"/>
            <w:tcBorders>
              <w:top w:val="single" w:color="000000" w:sz="6" w:space="0"/>
              <w:left w:val="single" w:color="000000" w:sz="6" w:space="0"/>
              <w:bottom w:val="nil"/>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textAlignment w:val="center"/>
              <w:rPr>
                <w:color w:val="333333"/>
                <w:sz w:val="21"/>
                <w:szCs w:val="21"/>
              </w:rPr>
            </w:pPr>
            <w:r>
              <w:rPr>
                <w:rFonts w:hint="eastAsia" w:ascii="宋体" w:hAnsi="宋体" w:eastAsia="宋体" w:cs="宋体"/>
                <w:i w:val="0"/>
                <w:caps w:val="0"/>
                <w:color w:val="333333"/>
                <w:spacing w:val="0"/>
                <w:kern w:val="0"/>
                <w:sz w:val="19"/>
                <w:szCs w:val="19"/>
                <w:bdr w:val="none" w:color="auto" w:sz="0" w:space="0"/>
                <w:lang w:val="en-US" w:eastAsia="zh-CN" w:bidi="ar"/>
              </w:rPr>
              <w:t>院系所名称</w:t>
            </w:r>
          </w:p>
        </w:tc>
        <w:tc>
          <w:tcPr>
            <w:tcW w:w="1080" w:type="dxa"/>
            <w:tcBorders>
              <w:top w:val="single" w:color="000000" w:sz="6" w:space="0"/>
              <w:left w:val="nil"/>
              <w:bottom w:val="nil"/>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textAlignment w:val="center"/>
              <w:rPr>
                <w:color w:val="333333"/>
                <w:sz w:val="21"/>
                <w:szCs w:val="21"/>
              </w:rPr>
            </w:pPr>
            <w:r>
              <w:rPr>
                <w:rFonts w:hint="eastAsia" w:ascii="宋体" w:hAnsi="宋体" w:eastAsia="宋体" w:cs="宋体"/>
                <w:i w:val="0"/>
                <w:caps w:val="0"/>
                <w:color w:val="333333"/>
                <w:spacing w:val="0"/>
                <w:kern w:val="0"/>
                <w:sz w:val="19"/>
                <w:szCs w:val="19"/>
                <w:bdr w:val="none" w:color="auto" w:sz="0" w:space="0"/>
                <w:lang w:val="en-US" w:eastAsia="zh-CN" w:bidi="ar"/>
              </w:rPr>
              <w:t>院系所代码</w:t>
            </w:r>
          </w:p>
        </w:tc>
        <w:tc>
          <w:tcPr>
            <w:tcW w:w="720" w:type="dxa"/>
            <w:tcBorders>
              <w:top w:val="single" w:color="000000" w:sz="6" w:space="0"/>
              <w:left w:val="nil"/>
              <w:bottom w:val="nil"/>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textAlignment w:val="center"/>
              <w:rPr>
                <w:color w:val="333333"/>
                <w:sz w:val="21"/>
                <w:szCs w:val="21"/>
              </w:rPr>
            </w:pPr>
            <w:r>
              <w:rPr>
                <w:rFonts w:hint="eastAsia" w:ascii="宋体" w:hAnsi="宋体" w:eastAsia="宋体" w:cs="宋体"/>
                <w:i w:val="0"/>
                <w:caps w:val="0"/>
                <w:color w:val="333333"/>
                <w:spacing w:val="0"/>
                <w:kern w:val="0"/>
                <w:sz w:val="19"/>
                <w:szCs w:val="19"/>
                <w:bdr w:val="none" w:color="auto" w:sz="0" w:space="0"/>
                <w:lang w:val="en-US" w:eastAsia="zh-CN" w:bidi="ar"/>
              </w:rPr>
              <w:t>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textAlignment w:val="center"/>
              <w:rPr>
                <w:color w:val="333333"/>
                <w:sz w:val="21"/>
                <w:szCs w:val="21"/>
              </w:rPr>
            </w:pPr>
            <w:r>
              <w:rPr>
                <w:rFonts w:hint="eastAsia" w:ascii="宋体" w:hAnsi="宋体" w:eastAsia="宋体" w:cs="宋体"/>
                <w:i w:val="0"/>
                <w:caps w:val="0"/>
                <w:color w:val="333333"/>
                <w:spacing w:val="0"/>
                <w:kern w:val="0"/>
                <w:sz w:val="19"/>
                <w:szCs w:val="19"/>
                <w:bdr w:val="none" w:color="auto" w:sz="0" w:space="0"/>
                <w:lang w:val="en-US" w:eastAsia="zh-CN" w:bidi="ar"/>
              </w:rPr>
              <w:t>代码</w:t>
            </w:r>
          </w:p>
        </w:tc>
        <w:tc>
          <w:tcPr>
            <w:tcW w:w="990" w:type="dxa"/>
            <w:tcBorders>
              <w:top w:val="single" w:color="000000" w:sz="6" w:space="0"/>
              <w:left w:val="nil"/>
              <w:bottom w:val="nil"/>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405" w:right="0" w:hanging="405"/>
              <w:jc w:val="left"/>
              <w:textAlignment w:val="center"/>
              <w:rPr>
                <w:color w:val="333333"/>
                <w:sz w:val="21"/>
                <w:szCs w:val="21"/>
              </w:rPr>
            </w:pPr>
            <w:r>
              <w:rPr>
                <w:rFonts w:hint="eastAsia" w:ascii="宋体" w:hAnsi="宋体" w:eastAsia="宋体" w:cs="宋体"/>
                <w:i w:val="0"/>
                <w:caps w:val="0"/>
                <w:color w:val="333333"/>
                <w:spacing w:val="0"/>
                <w:kern w:val="0"/>
                <w:sz w:val="19"/>
                <w:szCs w:val="19"/>
                <w:bdr w:val="none" w:color="auto" w:sz="0" w:space="0"/>
                <w:lang w:val="en-US" w:eastAsia="zh-CN" w:bidi="ar"/>
              </w:rPr>
              <w:t>专业名称</w:t>
            </w:r>
          </w:p>
        </w:tc>
        <w:tc>
          <w:tcPr>
            <w:tcW w:w="900" w:type="dxa"/>
            <w:tcBorders>
              <w:top w:val="single" w:color="000000" w:sz="6" w:space="0"/>
              <w:left w:val="nil"/>
              <w:bottom w:val="nil"/>
              <w:right w:val="nil"/>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textAlignment w:val="center"/>
              <w:rPr>
                <w:color w:val="333333"/>
                <w:sz w:val="21"/>
                <w:szCs w:val="21"/>
              </w:rPr>
            </w:pPr>
            <w:r>
              <w:rPr>
                <w:rFonts w:hint="eastAsia" w:ascii="宋体" w:hAnsi="宋体" w:eastAsia="宋体" w:cs="宋体"/>
                <w:i w:val="0"/>
                <w:caps w:val="0"/>
                <w:color w:val="333333"/>
                <w:spacing w:val="0"/>
                <w:kern w:val="0"/>
                <w:sz w:val="19"/>
                <w:szCs w:val="19"/>
                <w:bdr w:val="none" w:color="auto" w:sz="0" w:space="0"/>
                <w:lang w:val="en-US" w:eastAsia="zh-CN" w:bidi="ar"/>
              </w:rPr>
              <w:t>研究方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textAlignment w:val="center"/>
              <w:rPr>
                <w:color w:val="333333"/>
                <w:sz w:val="21"/>
                <w:szCs w:val="21"/>
              </w:rPr>
            </w:pPr>
            <w:r>
              <w:rPr>
                <w:rFonts w:hint="eastAsia" w:ascii="宋体" w:hAnsi="宋体" w:eastAsia="宋体" w:cs="宋体"/>
                <w:i w:val="0"/>
                <w:caps w:val="0"/>
                <w:color w:val="333333"/>
                <w:spacing w:val="0"/>
                <w:kern w:val="0"/>
                <w:sz w:val="19"/>
                <w:szCs w:val="19"/>
                <w:bdr w:val="none" w:color="auto" w:sz="0" w:space="0"/>
                <w:lang w:val="en-US" w:eastAsia="zh-CN" w:bidi="ar"/>
              </w:rPr>
              <w:t>向代码</w:t>
            </w:r>
          </w:p>
        </w:tc>
        <w:tc>
          <w:tcPr>
            <w:tcW w:w="1590"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textAlignment w:val="center"/>
              <w:rPr>
                <w:color w:val="333333"/>
                <w:sz w:val="21"/>
                <w:szCs w:val="21"/>
              </w:rPr>
            </w:pPr>
            <w:r>
              <w:rPr>
                <w:rFonts w:hint="eastAsia" w:ascii="宋体" w:hAnsi="宋体" w:eastAsia="宋体" w:cs="宋体"/>
                <w:i w:val="0"/>
                <w:caps w:val="0"/>
                <w:color w:val="333333"/>
                <w:spacing w:val="0"/>
                <w:kern w:val="0"/>
                <w:sz w:val="19"/>
                <w:szCs w:val="19"/>
                <w:bdr w:val="none" w:color="auto" w:sz="0" w:space="0"/>
                <w:lang w:val="en-US" w:eastAsia="zh-CN" w:bidi="ar"/>
              </w:rPr>
              <w:t>研究方向名称</w:t>
            </w:r>
          </w:p>
        </w:tc>
        <w:tc>
          <w:tcPr>
            <w:tcW w:w="930" w:type="dxa"/>
            <w:tcBorders>
              <w:top w:val="single" w:color="000000" w:sz="6" w:space="0"/>
              <w:left w:val="nil"/>
              <w:bottom w:val="nil"/>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textAlignment w:val="center"/>
              <w:rPr>
                <w:color w:val="333333"/>
                <w:sz w:val="21"/>
                <w:szCs w:val="21"/>
              </w:rPr>
            </w:pPr>
            <w:r>
              <w:rPr>
                <w:rFonts w:hint="eastAsia" w:ascii="宋体" w:hAnsi="宋体" w:eastAsia="宋体" w:cs="宋体"/>
                <w:i w:val="0"/>
                <w:caps w:val="0"/>
                <w:color w:val="333333"/>
                <w:spacing w:val="0"/>
                <w:kern w:val="0"/>
                <w:sz w:val="19"/>
                <w:szCs w:val="19"/>
                <w:bdr w:val="none" w:color="auto" w:sz="0" w:space="0"/>
                <w:lang w:val="en-US" w:eastAsia="zh-CN" w:bidi="ar"/>
              </w:rPr>
              <w:t>指导教师</w:t>
            </w:r>
          </w:p>
        </w:tc>
        <w:tc>
          <w:tcPr>
            <w:tcW w:w="1095" w:type="dxa"/>
            <w:tcBorders>
              <w:top w:val="single" w:color="000000" w:sz="6" w:space="0"/>
              <w:left w:val="nil"/>
              <w:bottom w:val="nil"/>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textAlignment w:val="center"/>
              <w:rPr>
                <w:color w:val="333333"/>
                <w:sz w:val="21"/>
                <w:szCs w:val="21"/>
              </w:rPr>
            </w:pPr>
            <w:r>
              <w:rPr>
                <w:rFonts w:hint="eastAsia" w:ascii="宋体" w:hAnsi="宋体" w:eastAsia="宋体" w:cs="宋体"/>
                <w:i w:val="0"/>
                <w:caps w:val="0"/>
                <w:color w:val="333333"/>
                <w:spacing w:val="0"/>
                <w:kern w:val="0"/>
                <w:sz w:val="19"/>
                <w:szCs w:val="19"/>
                <w:bdr w:val="none" w:color="auto" w:sz="0" w:space="0"/>
                <w:lang w:val="en-US" w:eastAsia="zh-CN" w:bidi="ar"/>
              </w:rPr>
              <w:t>拟接收</w:t>
            </w:r>
            <w:r>
              <w:rPr>
                <w:rFonts w:ascii="Times New Roman" w:hAnsi="Times New Roman" w:cs="Times New Roman" w:eastAsiaTheme="minorEastAsia"/>
                <w:i w:val="0"/>
                <w:caps w:val="0"/>
                <w:color w:val="333333"/>
                <w:spacing w:val="0"/>
                <w:kern w:val="0"/>
                <w:sz w:val="19"/>
                <w:szCs w:val="19"/>
                <w:bdr w:val="none" w:color="auto" w:sz="0" w:space="0"/>
                <w:lang w:val="en-US" w:eastAsia="zh-CN" w:bidi="ar"/>
              </w:rPr>
              <w:t>“</w:t>
            </w:r>
            <w:r>
              <w:rPr>
                <w:rFonts w:hint="eastAsia" w:ascii="宋体" w:hAnsi="宋体" w:eastAsia="宋体" w:cs="宋体"/>
                <w:i w:val="0"/>
                <w:caps w:val="0"/>
                <w:color w:val="333333"/>
                <w:spacing w:val="0"/>
                <w:kern w:val="0"/>
                <w:sz w:val="19"/>
                <w:szCs w:val="19"/>
                <w:bdr w:val="none" w:color="auto" w:sz="0" w:space="0"/>
                <w:lang w:val="en-US" w:eastAsia="zh-CN" w:bidi="ar"/>
              </w:rPr>
              <w:t>申请</w:t>
            </w:r>
            <w:r>
              <w:rPr>
                <w:rFonts w:hint="default" w:ascii="Times New Roman" w:hAnsi="Times New Roman" w:cs="Times New Roman" w:eastAsiaTheme="minorEastAsia"/>
                <w:i w:val="0"/>
                <w:caps w:val="0"/>
                <w:color w:val="333333"/>
                <w:spacing w:val="0"/>
                <w:kern w:val="0"/>
                <w:sz w:val="19"/>
                <w:szCs w:val="19"/>
                <w:bdr w:val="none" w:color="auto" w:sz="0" w:space="0"/>
                <w:lang w:val="en-US" w:eastAsia="zh-CN" w:bidi="ar"/>
              </w:rPr>
              <w:t>-</w:t>
            </w:r>
            <w:r>
              <w:rPr>
                <w:rFonts w:hint="eastAsia" w:ascii="宋体" w:hAnsi="宋体" w:eastAsia="宋体" w:cs="宋体"/>
                <w:i w:val="0"/>
                <w:caps w:val="0"/>
                <w:color w:val="333333"/>
                <w:spacing w:val="0"/>
                <w:kern w:val="0"/>
                <w:sz w:val="19"/>
                <w:szCs w:val="19"/>
                <w:bdr w:val="none" w:color="auto" w:sz="0" w:space="0"/>
                <w:lang w:val="en-US" w:eastAsia="zh-CN" w:bidi="ar"/>
              </w:rPr>
              <w:t>考核</w:t>
            </w:r>
            <w:r>
              <w:rPr>
                <w:rFonts w:hint="default" w:ascii="Times New Roman" w:hAnsi="Times New Roman" w:cs="Times New Roman" w:eastAsiaTheme="minorEastAsia"/>
                <w:i w:val="0"/>
                <w:caps w:val="0"/>
                <w:color w:val="333333"/>
                <w:spacing w:val="0"/>
                <w:kern w:val="0"/>
                <w:sz w:val="19"/>
                <w:szCs w:val="19"/>
                <w:bdr w:val="none" w:color="auto" w:sz="0" w:space="0"/>
                <w:lang w:val="en-US" w:eastAsia="zh-CN" w:bidi="ar"/>
              </w:rPr>
              <w:t>”</w:t>
            </w:r>
            <w:r>
              <w:rPr>
                <w:rFonts w:hint="eastAsia" w:ascii="宋体" w:hAnsi="宋体" w:eastAsia="宋体" w:cs="宋体"/>
                <w:i w:val="0"/>
                <w:caps w:val="0"/>
                <w:color w:val="333333"/>
                <w:spacing w:val="0"/>
                <w:kern w:val="0"/>
                <w:sz w:val="19"/>
                <w:szCs w:val="19"/>
                <w:bdr w:val="none" w:color="auto" w:sz="0" w:space="0"/>
                <w:lang w:val="en-US" w:eastAsia="zh-CN" w:bidi="ar"/>
              </w:rPr>
              <w:t>制人数</w:t>
            </w:r>
          </w:p>
        </w:tc>
        <w:tc>
          <w:tcPr>
            <w:tcW w:w="1530" w:type="dxa"/>
            <w:tcBorders>
              <w:top w:val="single" w:color="000000" w:sz="6" w:space="0"/>
              <w:left w:val="nil"/>
              <w:bottom w:val="nil"/>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宋体" w:hAnsi="宋体" w:eastAsia="宋体" w:cs="宋体"/>
                <w:i w:val="0"/>
                <w:caps w:val="0"/>
                <w:color w:val="333333"/>
                <w:spacing w:val="0"/>
                <w:kern w:val="0"/>
                <w:sz w:val="19"/>
                <w:szCs w:val="19"/>
                <w:bdr w:val="none" w:color="auto" w:sz="0" w:space="0"/>
                <w:lang w:val="en-US" w:eastAsia="zh-CN" w:bidi="ar"/>
              </w:rPr>
              <w:t>备注</w:t>
            </w:r>
          </w:p>
        </w:tc>
      </w:tr>
      <w:tr>
        <w:tblPrEx>
          <w:tblLayout w:type="fixed"/>
          <w:tblCellMar>
            <w:top w:w="0" w:type="dxa"/>
            <w:left w:w="0" w:type="dxa"/>
            <w:bottom w:w="0" w:type="dxa"/>
            <w:right w:w="0" w:type="dxa"/>
          </w:tblCellMar>
        </w:tblPrEx>
        <w:trPr>
          <w:trHeight w:val="660" w:hRule="atLeast"/>
        </w:trPr>
        <w:tc>
          <w:tcPr>
            <w:tcW w:w="1080" w:type="dxa"/>
            <w:vMerge w:val="restar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textAlignment w:val="center"/>
              <w:rPr>
                <w:color w:val="333333"/>
                <w:sz w:val="21"/>
                <w:szCs w:val="21"/>
              </w:rPr>
            </w:pPr>
            <w:r>
              <w:rPr>
                <w:rFonts w:hint="eastAsia" w:ascii="宋体" w:hAnsi="宋体" w:eastAsia="宋体" w:cs="宋体"/>
                <w:i w:val="0"/>
                <w:caps w:val="0"/>
                <w:color w:val="333333"/>
                <w:spacing w:val="0"/>
                <w:kern w:val="0"/>
                <w:sz w:val="19"/>
                <w:szCs w:val="19"/>
                <w:bdr w:val="none" w:color="auto" w:sz="0" w:space="0"/>
                <w:lang w:val="en-US" w:eastAsia="zh-CN" w:bidi="ar"/>
              </w:rPr>
              <w:t>资源与环境工程学</w:t>
            </w:r>
            <w:r>
              <w:rPr>
                <w:rFonts w:hint="default" w:ascii="Arial" w:hAnsi="Arial" w:cs="Arial" w:eastAsiaTheme="minorEastAsia"/>
                <w:i w:val="0"/>
                <w:caps w:val="0"/>
                <w:color w:val="333333"/>
                <w:spacing w:val="0"/>
                <w:kern w:val="0"/>
                <w:sz w:val="19"/>
                <w:szCs w:val="19"/>
                <w:bdr w:val="none" w:color="auto" w:sz="0" w:space="0"/>
                <w:lang w:val="en-US" w:eastAsia="zh-CN" w:bidi="ar"/>
              </w:rPr>
              <w:t>   院</w:t>
            </w:r>
          </w:p>
        </w:tc>
        <w:tc>
          <w:tcPr>
            <w:tcW w:w="1080" w:type="dxa"/>
            <w:vMerge w:val="restar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textAlignment w:val="center"/>
              <w:rPr>
                <w:color w:val="333333"/>
                <w:sz w:val="21"/>
                <w:szCs w:val="21"/>
              </w:rPr>
            </w:pPr>
            <w:r>
              <w:rPr>
                <w:rFonts w:hint="default" w:ascii="Times New Roman" w:hAnsi="Times New Roman" w:cs="Times New Roman" w:eastAsiaTheme="minorEastAsia"/>
                <w:i w:val="0"/>
                <w:caps w:val="0"/>
                <w:color w:val="333333"/>
                <w:spacing w:val="0"/>
                <w:kern w:val="0"/>
                <w:sz w:val="19"/>
                <w:szCs w:val="19"/>
                <w:bdr w:val="none" w:color="auto" w:sz="0" w:space="0"/>
                <w:lang w:val="en-US" w:eastAsia="zh-CN" w:bidi="ar"/>
              </w:rPr>
              <w:t>113</w:t>
            </w:r>
          </w:p>
        </w:tc>
        <w:tc>
          <w:tcPr>
            <w:tcW w:w="720" w:type="dxa"/>
            <w:vMerge w:val="restar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textAlignment w:val="center"/>
              <w:rPr>
                <w:color w:val="333333"/>
                <w:sz w:val="21"/>
                <w:szCs w:val="21"/>
              </w:rPr>
            </w:pPr>
            <w:r>
              <w:rPr>
                <w:rFonts w:hint="default" w:ascii="Times New Roman" w:hAnsi="Times New Roman" w:cs="Times New Roman" w:eastAsiaTheme="minorEastAsia"/>
                <w:i w:val="0"/>
                <w:caps w:val="0"/>
                <w:color w:val="333333"/>
                <w:spacing w:val="0"/>
                <w:kern w:val="0"/>
                <w:sz w:val="19"/>
                <w:szCs w:val="19"/>
                <w:bdr w:val="none" w:color="auto" w:sz="0" w:space="0"/>
                <w:lang w:val="en-US" w:eastAsia="zh-CN" w:bidi="ar"/>
              </w:rPr>
              <w:t>0709</w:t>
            </w:r>
          </w:p>
        </w:tc>
        <w:tc>
          <w:tcPr>
            <w:tcW w:w="990" w:type="dxa"/>
            <w:vMerge w:val="restar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textAlignment w:val="center"/>
              <w:rPr>
                <w:color w:val="333333"/>
                <w:sz w:val="21"/>
                <w:szCs w:val="21"/>
              </w:rPr>
            </w:pPr>
            <w:r>
              <w:rPr>
                <w:rFonts w:hint="eastAsia" w:ascii="宋体" w:hAnsi="宋体" w:eastAsia="宋体" w:cs="宋体"/>
                <w:i w:val="0"/>
                <w:caps w:val="0"/>
                <w:color w:val="333333"/>
                <w:spacing w:val="0"/>
                <w:kern w:val="0"/>
                <w:sz w:val="19"/>
                <w:szCs w:val="19"/>
                <w:bdr w:val="none" w:color="auto" w:sz="0" w:space="0"/>
                <w:lang w:val="en-US" w:eastAsia="zh-CN" w:bidi="ar"/>
              </w:rPr>
              <w:t>地质学</w:t>
            </w:r>
          </w:p>
        </w:tc>
        <w:tc>
          <w:tcPr>
            <w:tcW w:w="900" w:type="dxa"/>
            <w:tcBorders>
              <w:top w:val="single" w:color="000000" w:sz="6" w:space="0"/>
              <w:left w:val="nil"/>
              <w:bottom w:val="single" w:color="000000" w:sz="6" w:space="0"/>
              <w:right w:val="nil"/>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textAlignment w:val="center"/>
              <w:rPr>
                <w:color w:val="333333"/>
                <w:sz w:val="21"/>
                <w:szCs w:val="21"/>
              </w:rPr>
            </w:pPr>
            <w:r>
              <w:rPr>
                <w:rFonts w:hint="default" w:ascii="Times New Roman" w:hAnsi="Times New Roman" w:cs="Times New Roman" w:eastAsiaTheme="minorEastAsia"/>
                <w:i w:val="0"/>
                <w:caps w:val="0"/>
                <w:color w:val="333333"/>
                <w:spacing w:val="0"/>
                <w:kern w:val="0"/>
                <w:sz w:val="19"/>
                <w:szCs w:val="19"/>
                <w:bdr w:val="none" w:color="auto" w:sz="0" w:space="0"/>
                <w:lang w:val="en-US" w:eastAsia="zh-CN" w:bidi="ar"/>
              </w:rPr>
              <w:t>01</w:t>
            </w:r>
          </w:p>
        </w:tc>
        <w:tc>
          <w:tcPr>
            <w:tcW w:w="159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textAlignment w:val="center"/>
              <w:rPr>
                <w:color w:val="333333"/>
                <w:sz w:val="21"/>
                <w:szCs w:val="21"/>
              </w:rPr>
            </w:pPr>
            <w:r>
              <w:rPr>
                <w:rFonts w:hint="eastAsia" w:ascii="宋体" w:hAnsi="宋体" w:eastAsia="宋体" w:cs="宋体"/>
                <w:i w:val="0"/>
                <w:caps w:val="0"/>
                <w:color w:val="333333"/>
                <w:spacing w:val="0"/>
                <w:kern w:val="0"/>
                <w:sz w:val="19"/>
                <w:szCs w:val="19"/>
                <w:bdr w:val="none" w:color="auto" w:sz="0" w:space="0"/>
                <w:lang w:val="en-US" w:eastAsia="zh-CN" w:bidi="ar"/>
              </w:rPr>
              <w:t>矿物学、岩石学、矿床学</w:t>
            </w:r>
          </w:p>
        </w:tc>
        <w:tc>
          <w:tcPr>
            <w:tcW w:w="93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textAlignment w:val="center"/>
              <w:rPr>
                <w:color w:val="333333"/>
                <w:sz w:val="21"/>
                <w:szCs w:val="21"/>
              </w:rPr>
            </w:pPr>
            <w:r>
              <w:rPr>
                <w:rFonts w:hint="eastAsia" w:ascii="宋体" w:hAnsi="宋体" w:eastAsia="宋体" w:cs="宋体"/>
                <w:i w:val="0"/>
                <w:caps w:val="0"/>
                <w:color w:val="333333"/>
                <w:spacing w:val="0"/>
                <w:kern w:val="0"/>
                <w:sz w:val="19"/>
                <w:szCs w:val="19"/>
                <w:bdr w:val="none" w:color="auto" w:sz="0" w:space="0"/>
                <w:lang w:val="en-US" w:eastAsia="zh-CN" w:bidi="ar"/>
              </w:rPr>
              <w:t>周琦</w:t>
            </w:r>
          </w:p>
        </w:tc>
        <w:tc>
          <w:tcPr>
            <w:tcW w:w="1095" w:type="dxa"/>
            <w:tcBorders>
              <w:top w:val="single" w:color="000000" w:sz="6" w:space="0"/>
              <w:left w:val="nil"/>
              <w:bottom w:val="nil"/>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default" w:ascii="Times New Roman" w:hAnsi="Times New Roman" w:cs="Times New Roman" w:eastAsiaTheme="minorEastAsia"/>
                <w:i w:val="0"/>
                <w:caps w:val="0"/>
                <w:color w:val="333333"/>
                <w:spacing w:val="0"/>
                <w:kern w:val="0"/>
                <w:sz w:val="19"/>
                <w:szCs w:val="19"/>
                <w:bdr w:val="none" w:color="auto" w:sz="0" w:space="0"/>
                <w:lang w:val="en-US" w:eastAsia="zh-CN" w:bidi="ar"/>
              </w:rPr>
              <w:t>1</w:t>
            </w:r>
          </w:p>
        </w:tc>
        <w:tc>
          <w:tcPr>
            <w:tcW w:w="153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eastAsia" w:ascii="宋体" w:hAnsi="宋体" w:eastAsia="宋体" w:cs="宋体"/>
                <w:i w:val="0"/>
                <w:caps w:val="0"/>
                <w:color w:val="333333"/>
                <w:spacing w:val="0"/>
                <w:kern w:val="0"/>
                <w:sz w:val="19"/>
                <w:szCs w:val="19"/>
                <w:bdr w:val="none" w:color="auto" w:sz="0" w:space="0"/>
                <w:lang w:val="en-US" w:eastAsia="zh-CN" w:bidi="ar"/>
              </w:rPr>
              <w:t>科研博士</w:t>
            </w:r>
          </w:p>
        </w:tc>
      </w:tr>
      <w:tr>
        <w:tblPrEx>
          <w:tblLayout w:type="fixed"/>
          <w:tblCellMar>
            <w:top w:w="0" w:type="dxa"/>
            <w:left w:w="0" w:type="dxa"/>
            <w:bottom w:w="0" w:type="dxa"/>
            <w:right w:w="0" w:type="dxa"/>
          </w:tblCellMar>
        </w:tblPrEx>
        <w:trPr>
          <w:trHeight w:val="465" w:hRule="atLeast"/>
        </w:trPr>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ascii="Arial" w:hAnsi="Arial" w:cs="Arial"/>
                <w:i w:val="0"/>
                <w:caps w:val="0"/>
                <w:color w:val="333333"/>
                <w:spacing w:val="0"/>
                <w:sz w:val="21"/>
                <w:szCs w:val="21"/>
              </w:rPr>
            </w:pPr>
          </w:p>
        </w:tc>
        <w:tc>
          <w:tcPr>
            <w:tcW w:w="1080" w:type="dxa"/>
            <w:vMerge w:val="continue"/>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rPr>
                <w:rFonts w:hint="default" w:ascii="Arial" w:hAnsi="Arial" w:cs="Arial"/>
                <w:i w:val="0"/>
                <w:caps w:val="0"/>
                <w:color w:val="333333"/>
                <w:spacing w:val="0"/>
                <w:sz w:val="21"/>
                <w:szCs w:val="21"/>
              </w:rPr>
            </w:pPr>
          </w:p>
        </w:tc>
        <w:tc>
          <w:tcPr>
            <w:tcW w:w="720" w:type="dxa"/>
            <w:vMerge w:val="continue"/>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rPr>
                <w:rFonts w:hint="default" w:ascii="Arial" w:hAnsi="Arial" w:cs="Arial"/>
                <w:i w:val="0"/>
                <w:caps w:val="0"/>
                <w:color w:val="333333"/>
                <w:spacing w:val="0"/>
                <w:sz w:val="21"/>
                <w:szCs w:val="21"/>
              </w:rPr>
            </w:pPr>
          </w:p>
        </w:tc>
        <w:tc>
          <w:tcPr>
            <w:tcW w:w="990" w:type="dxa"/>
            <w:vMerge w:val="continue"/>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rPr>
                <w:rFonts w:hint="default" w:ascii="Arial" w:hAnsi="Arial" w:cs="Arial"/>
                <w:i w:val="0"/>
                <w:caps w:val="0"/>
                <w:color w:val="333333"/>
                <w:spacing w:val="0"/>
                <w:sz w:val="21"/>
                <w:szCs w:val="21"/>
              </w:rPr>
            </w:pPr>
          </w:p>
        </w:tc>
        <w:tc>
          <w:tcPr>
            <w:tcW w:w="900" w:type="dxa"/>
            <w:vMerge w:val="restart"/>
            <w:tcBorders>
              <w:top w:val="nil"/>
              <w:left w:val="nil"/>
              <w:bottom w:val="nil"/>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textAlignment w:val="center"/>
              <w:rPr>
                <w:color w:val="333333"/>
                <w:sz w:val="21"/>
                <w:szCs w:val="21"/>
              </w:rPr>
            </w:pPr>
            <w:r>
              <w:rPr>
                <w:rFonts w:hint="default" w:ascii="Times New Roman" w:hAnsi="Times New Roman" w:cs="Times New Roman" w:eastAsiaTheme="minorEastAsia"/>
                <w:i w:val="0"/>
                <w:caps w:val="0"/>
                <w:color w:val="333333"/>
                <w:spacing w:val="0"/>
                <w:kern w:val="0"/>
                <w:sz w:val="19"/>
                <w:szCs w:val="19"/>
                <w:bdr w:val="none" w:color="auto" w:sz="0" w:space="0"/>
                <w:lang w:val="en-US" w:eastAsia="zh-CN" w:bidi="ar"/>
              </w:rPr>
              <w:t>02</w:t>
            </w:r>
          </w:p>
        </w:tc>
        <w:tc>
          <w:tcPr>
            <w:tcW w:w="1590" w:type="dxa"/>
            <w:vMerge w:val="restart"/>
            <w:tcBorders>
              <w:top w:val="nil"/>
              <w:left w:val="nil"/>
              <w:bottom w:val="nil"/>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textAlignment w:val="center"/>
              <w:rPr>
                <w:color w:val="333333"/>
                <w:sz w:val="21"/>
                <w:szCs w:val="21"/>
              </w:rPr>
            </w:pPr>
            <w:r>
              <w:rPr>
                <w:rFonts w:hint="eastAsia" w:ascii="宋体" w:hAnsi="宋体" w:eastAsia="宋体" w:cs="宋体"/>
                <w:i w:val="0"/>
                <w:caps w:val="0"/>
                <w:color w:val="333333"/>
                <w:spacing w:val="0"/>
                <w:kern w:val="0"/>
                <w:sz w:val="19"/>
                <w:szCs w:val="19"/>
                <w:bdr w:val="none" w:color="auto" w:sz="0" w:space="0"/>
                <w:lang w:val="en-US" w:eastAsia="zh-CN" w:bidi="ar"/>
              </w:rPr>
              <w:t>地球化学</w:t>
            </w:r>
          </w:p>
        </w:tc>
        <w:tc>
          <w:tcPr>
            <w:tcW w:w="93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textAlignment w:val="center"/>
              <w:rPr>
                <w:color w:val="333333"/>
                <w:sz w:val="21"/>
                <w:szCs w:val="21"/>
              </w:rPr>
            </w:pPr>
            <w:r>
              <w:rPr>
                <w:rFonts w:hint="eastAsia" w:ascii="宋体" w:hAnsi="宋体" w:eastAsia="宋体" w:cs="宋体"/>
                <w:i w:val="0"/>
                <w:caps w:val="0"/>
                <w:color w:val="333333"/>
                <w:spacing w:val="0"/>
                <w:kern w:val="0"/>
                <w:sz w:val="19"/>
                <w:szCs w:val="19"/>
                <w:bdr w:val="none" w:color="auto" w:sz="0" w:space="0"/>
                <w:lang w:val="en-US" w:eastAsia="zh-CN" w:bidi="ar"/>
              </w:rPr>
              <w:t>周少奇</w:t>
            </w:r>
          </w:p>
        </w:tc>
        <w:tc>
          <w:tcPr>
            <w:tcW w:w="1095" w:type="dxa"/>
            <w:vMerge w:val="restart"/>
            <w:tcBorders>
              <w:top w:val="single" w:color="000000" w:sz="6" w:space="0"/>
              <w:left w:val="nil"/>
              <w:bottom w:val="nil"/>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default" w:ascii="Times New Roman" w:hAnsi="Times New Roman" w:cs="Times New Roman" w:eastAsiaTheme="minorEastAsia"/>
                <w:i w:val="0"/>
                <w:caps w:val="0"/>
                <w:color w:val="333333"/>
                <w:spacing w:val="0"/>
                <w:kern w:val="0"/>
                <w:sz w:val="19"/>
                <w:szCs w:val="19"/>
                <w:bdr w:val="none" w:color="auto" w:sz="0" w:space="0"/>
                <w:lang w:val="en-US" w:eastAsia="zh-CN" w:bidi="ar"/>
              </w:rPr>
              <w:t>4</w:t>
            </w:r>
          </w:p>
        </w:tc>
        <w:tc>
          <w:tcPr>
            <w:tcW w:w="1530"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rPr>
                <w:color w:val="333333"/>
                <w:sz w:val="21"/>
                <w:szCs w:val="21"/>
              </w:rPr>
            </w:pPr>
            <w:r>
              <w:rPr>
                <w:rFonts w:hint="default" w:ascii="Times New Roman" w:hAnsi="Times New Roman" w:cs="Times New Roman" w:eastAsiaTheme="minorEastAsia"/>
                <w:i w:val="0"/>
                <w:caps w:val="0"/>
                <w:color w:val="333333"/>
                <w:spacing w:val="0"/>
                <w:kern w:val="0"/>
                <w:sz w:val="19"/>
                <w:szCs w:val="19"/>
                <w:bdr w:val="none" w:color="auto" w:sz="0" w:space="0"/>
                <w:lang w:val="en-US" w:eastAsia="zh-CN" w:bidi="ar"/>
              </w:rPr>
              <w:t> </w:t>
            </w:r>
          </w:p>
        </w:tc>
      </w:tr>
      <w:tr>
        <w:tblPrEx>
          <w:tblLayout w:type="fixed"/>
          <w:tblCellMar>
            <w:top w:w="0" w:type="dxa"/>
            <w:left w:w="0" w:type="dxa"/>
            <w:bottom w:w="0" w:type="dxa"/>
            <w:right w:w="0" w:type="dxa"/>
          </w:tblCellMar>
        </w:tblPrEx>
        <w:trPr>
          <w:trHeight w:val="465" w:hRule="atLeast"/>
        </w:trPr>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ascii="Arial" w:hAnsi="Arial" w:cs="Arial"/>
                <w:i w:val="0"/>
                <w:caps w:val="0"/>
                <w:color w:val="333333"/>
                <w:spacing w:val="0"/>
                <w:sz w:val="21"/>
                <w:szCs w:val="21"/>
              </w:rPr>
            </w:pPr>
          </w:p>
        </w:tc>
        <w:tc>
          <w:tcPr>
            <w:tcW w:w="1080" w:type="dxa"/>
            <w:vMerge w:val="continue"/>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rPr>
                <w:rFonts w:hint="default" w:ascii="Arial" w:hAnsi="Arial" w:cs="Arial"/>
                <w:i w:val="0"/>
                <w:caps w:val="0"/>
                <w:color w:val="333333"/>
                <w:spacing w:val="0"/>
                <w:sz w:val="21"/>
                <w:szCs w:val="21"/>
              </w:rPr>
            </w:pPr>
          </w:p>
        </w:tc>
        <w:tc>
          <w:tcPr>
            <w:tcW w:w="720" w:type="dxa"/>
            <w:vMerge w:val="continue"/>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rPr>
                <w:rFonts w:hint="default" w:ascii="Arial" w:hAnsi="Arial" w:cs="Arial"/>
                <w:i w:val="0"/>
                <w:caps w:val="0"/>
                <w:color w:val="333333"/>
                <w:spacing w:val="0"/>
                <w:sz w:val="21"/>
                <w:szCs w:val="21"/>
              </w:rPr>
            </w:pPr>
          </w:p>
        </w:tc>
        <w:tc>
          <w:tcPr>
            <w:tcW w:w="990" w:type="dxa"/>
            <w:vMerge w:val="continue"/>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rPr>
                <w:rFonts w:hint="default" w:ascii="Arial" w:hAnsi="Arial" w:cs="Arial"/>
                <w:i w:val="0"/>
                <w:caps w:val="0"/>
                <w:color w:val="333333"/>
                <w:spacing w:val="0"/>
                <w:sz w:val="21"/>
                <w:szCs w:val="21"/>
              </w:rPr>
            </w:pPr>
          </w:p>
        </w:tc>
        <w:tc>
          <w:tcPr>
            <w:tcW w:w="900" w:type="dxa"/>
            <w:vMerge w:val="continue"/>
            <w:tcBorders>
              <w:top w:val="nil"/>
              <w:left w:val="nil"/>
              <w:bottom w:val="nil"/>
              <w:right w:val="single" w:color="000000" w:sz="6" w:space="0"/>
            </w:tcBorders>
            <w:shd w:val="clear" w:color="auto" w:fill="FFFFFF"/>
            <w:tcMar>
              <w:left w:w="105" w:type="dxa"/>
              <w:right w:w="105" w:type="dxa"/>
            </w:tcMar>
            <w:vAlign w:val="center"/>
          </w:tcPr>
          <w:p>
            <w:pPr>
              <w:rPr>
                <w:rFonts w:hint="default" w:ascii="Arial" w:hAnsi="Arial" w:cs="Arial"/>
                <w:i w:val="0"/>
                <w:caps w:val="0"/>
                <w:color w:val="333333"/>
                <w:spacing w:val="0"/>
                <w:sz w:val="21"/>
                <w:szCs w:val="21"/>
              </w:rPr>
            </w:pPr>
          </w:p>
        </w:tc>
        <w:tc>
          <w:tcPr>
            <w:tcW w:w="1590" w:type="dxa"/>
            <w:vMerge w:val="continue"/>
            <w:tcBorders>
              <w:top w:val="nil"/>
              <w:left w:val="nil"/>
              <w:bottom w:val="nil"/>
              <w:right w:val="single" w:color="000000" w:sz="6" w:space="0"/>
            </w:tcBorders>
            <w:shd w:val="clear" w:color="auto" w:fill="FFFFFF"/>
            <w:tcMar>
              <w:left w:w="105" w:type="dxa"/>
              <w:right w:w="105" w:type="dxa"/>
            </w:tcMar>
            <w:vAlign w:val="center"/>
          </w:tcPr>
          <w:p>
            <w:pPr>
              <w:rPr>
                <w:rFonts w:hint="default" w:ascii="Arial" w:hAnsi="Arial" w:cs="Arial"/>
                <w:i w:val="0"/>
                <w:caps w:val="0"/>
                <w:color w:val="333333"/>
                <w:spacing w:val="0"/>
                <w:sz w:val="21"/>
                <w:szCs w:val="21"/>
              </w:rPr>
            </w:pPr>
          </w:p>
        </w:tc>
        <w:tc>
          <w:tcPr>
            <w:tcW w:w="93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textAlignment w:val="center"/>
              <w:rPr>
                <w:color w:val="333333"/>
                <w:sz w:val="21"/>
                <w:szCs w:val="21"/>
              </w:rPr>
            </w:pPr>
            <w:r>
              <w:rPr>
                <w:rFonts w:hint="eastAsia" w:ascii="宋体" w:hAnsi="宋体" w:eastAsia="宋体" w:cs="宋体"/>
                <w:i w:val="0"/>
                <w:caps w:val="0"/>
                <w:color w:val="333333"/>
                <w:spacing w:val="0"/>
                <w:kern w:val="0"/>
                <w:sz w:val="19"/>
                <w:szCs w:val="19"/>
                <w:bdr w:val="none" w:color="auto" w:sz="0" w:space="0"/>
                <w:lang w:val="en-US" w:eastAsia="zh-CN" w:bidi="ar"/>
              </w:rPr>
              <w:t>吴起鑫</w:t>
            </w:r>
          </w:p>
        </w:tc>
        <w:tc>
          <w:tcPr>
            <w:tcW w:w="1095" w:type="dxa"/>
            <w:vMerge w:val="continue"/>
            <w:tcBorders>
              <w:top w:val="single" w:color="000000" w:sz="6" w:space="0"/>
              <w:left w:val="nil"/>
              <w:bottom w:val="nil"/>
              <w:right w:val="single" w:color="000000" w:sz="6" w:space="0"/>
            </w:tcBorders>
            <w:shd w:val="clear" w:color="auto" w:fill="FFFFFF"/>
            <w:tcMar>
              <w:left w:w="105" w:type="dxa"/>
              <w:right w:w="105" w:type="dxa"/>
            </w:tcMar>
            <w:vAlign w:val="center"/>
          </w:tcPr>
          <w:p>
            <w:pPr>
              <w:rPr>
                <w:rFonts w:hint="default" w:ascii="Arial" w:hAnsi="Arial" w:cs="Arial"/>
                <w:i w:val="0"/>
                <w:caps w:val="0"/>
                <w:color w:val="333333"/>
                <w:spacing w:val="0"/>
                <w:sz w:val="21"/>
                <w:szCs w:val="21"/>
              </w:rPr>
            </w:pPr>
          </w:p>
        </w:tc>
        <w:tc>
          <w:tcPr>
            <w:tcW w:w="1530"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ascii="Arial" w:hAnsi="Arial" w:cs="Arial"/>
                <w:i w:val="0"/>
                <w:caps w:val="0"/>
                <w:color w:val="333333"/>
                <w:spacing w:val="0"/>
                <w:sz w:val="21"/>
                <w:szCs w:val="21"/>
              </w:rPr>
            </w:pPr>
          </w:p>
        </w:tc>
      </w:tr>
      <w:tr>
        <w:tblPrEx>
          <w:tblLayout w:type="fixed"/>
          <w:tblCellMar>
            <w:top w:w="0" w:type="dxa"/>
            <w:left w:w="0" w:type="dxa"/>
            <w:bottom w:w="0" w:type="dxa"/>
            <w:right w:w="0" w:type="dxa"/>
          </w:tblCellMar>
        </w:tblPrEx>
        <w:trPr>
          <w:trHeight w:val="465" w:hRule="atLeast"/>
        </w:trPr>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ascii="Arial" w:hAnsi="Arial" w:cs="Arial"/>
                <w:i w:val="0"/>
                <w:caps w:val="0"/>
                <w:color w:val="333333"/>
                <w:spacing w:val="0"/>
                <w:sz w:val="21"/>
                <w:szCs w:val="21"/>
              </w:rPr>
            </w:pPr>
          </w:p>
        </w:tc>
        <w:tc>
          <w:tcPr>
            <w:tcW w:w="1080" w:type="dxa"/>
            <w:vMerge w:val="continue"/>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rPr>
                <w:rFonts w:hint="default" w:ascii="Arial" w:hAnsi="Arial" w:cs="Arial"/>
                <w:i w:val="0"/>
                <w:caps w:val="0"/>
                <w:color w:val="333333"/>
                <w:spacing w:val="0"/>
                <w:sz w:val="21"/>
                <w:szCs w:val="21"/>
              </w:rPr>
            </w:pPr>
          </w:p>
        </w:tc>
        <w:tc>
          <w:tcPr>
            <w:tcW w:w="720" w:type="dxa"/>
            <w:vMerge w:val="continue"/>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rPr>
                <w:rFonts w:hint="default" w:ascii="Arial" w:hAnsi="Arial" w:cs="Arial"/>
                <w:i w:val="0"/>
                <w:caps w:val="0"/>
                <w:color w:val="333333"/>
                <w:spacing w:val="0"/>
                <w:sz w:val="21"/>
                <w:szCs w:val="21"/>
              </w:rPr>
            </w:pPr>
          </w:p>
        </w:tc>
        <w:tc>
          <w:tcPr>
            <w:tcW w:w="990" w:type="dxa"/>
            <w:vMerge w:val="continue"/>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rPr>
                <w:rFonts w:hint="default" w:ascii="Arial" w:hAnsi="Arial" w:cs="Arial"/>
                <w:i w:val="0"/>
                <w:caps w:val="0"/>
                <w:color w:val="333333"/>
                <w:spacing w:val="0"/>
                <w:sz w:val="21"/>
                <w:szCs w:val="21"/>
              </w:rPr>
            </w:pPr>
          </w:p>
        </w:tc>
        <w:tc>
          <w:tcPr>
            <w:tcW w:w="900" w:type="dxa"/>
            <w:vMerge w:val="continue"/>
            <w:tcBorders>
              <w:top w:val="nil"/>
              <w:left w:val="nil"/>
              <w:bottom w:val="nil"/>
              <w:right w:val="single" w:color="000000" w:sz="6" w:space="0"/>
            </w:tcBorders>
            <w:shd w:val="clear" w:color="auto" w:fill="FFFFFF"/>
            <w:tcMar>
              <w:left w:w="105" w:type="dxa"/>
              <w:right w:w="105" w:type="dxa"/>
            </w:tcMar>
            <w:vAlign w:val="center"/>
          </w:tcPr>
          <w:p>
            <w:pPr>
              <w:rPr>
                <w:rFonts w:hint="default" w:ascii="Arial" w:hAnsi="Arial" w:cs="Arial"/>
                <w:i w:val="0"/>
                <w:caps w:val="0"/>
                <w:color w:val="333333"/>
                <w:spacing w:val="0"/>
                <w:sz w:val="21"/>
                <w:szCs w:val="21"/>
              </w:rPr>
            </w:pPr>
          </w:p>
        </w:tc>
        <w:tc>
          <w:tcPr>
            <w:tcW w:w="1590" w:type="dxa"/>
            <w:vMerge w:val="continue"/>
            <w:tcBorders>
              <w:top w:val="nil"/>
              <w:left w:val="nil"/>
              <w:bottom w:val="nil"/>
              <w:right w:val="single" w:color="000000" w:sz="6" w:space="0"/>
            </w:tcBorders>
            <w:shd w:val="clear" w:color="auto" w:fill="FFFFFF"/>
            <w:tcMar>
              <w:left w:w="105" w:type="dxa"/>
              <w:right w:w="105" w:type="dxa"/>
            </w:tcMar>
            <w:vAlign w:val="center"/>
          </w:tcPr>
          <w:p>
            <w:pPr>
              <w:rPr>
                <w:rFonts w:hint="default" w:ascii="Arial" w:hAnsi="Arial" w:cs="Arial"/>
                <w:i w:val="0"/>
                <w:caps w:val="0"/>
                <w:color w:val="333333"/>
                <w:spacing w:val="0"/>
                <w:sz w:val="21"/>
                <w:szCs w:val="21"/>
              </w:rPr>
            </w:pPr>
          </w:p>
        </w:tc>
        <w:tc>
          <w:tcPr>
            <w:tcW w:w="93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textAlignment w:val="center"/>
              <w:rPr>
                <w:color w:val="333333"/>
                <w:sz w:val="21"/>
                <w:szCs w:val="21"/>
              </w:rPr>
            </w:pPr>
            <w:r>
              <w:rPr>
                <w:rFonts w:hint="eastAsia" w:ascii="宋体" w:hAnsi="宋体" w:eastAsia="宋体" w:cs="宋体"/>
                <w:i w:val="0"/>
                <w:caps w:val="0"/>
                <w:color w:val="333333"/>
                <w:spacing w:val="0"/>
                <w:kern w:val="0"/>
                <w:sz w:val="19"/>
                <w:szCs w:val="19"/>
                <w:bdr w:val="none" w:color="auto" w:sz="0" w:space="0"/>
                <w:lang w:val="en-US" w:eastAsia="zh-CN" w:bidi="ar"/>
              </w:rPr>
              <w:t>李博</w:t>
            </w:r>
          </w:p>
        </w:tc>
        <w:tc>
          <w:tcPr>
            <w:tcW w:w="1095" w:type="dxa"/>
            <w:vMerge w:val="continue"/>
            <w:tcBorders>
              <w:top w:val="single" w:color="000000" w:sz="6" w:space="0"/>
              <w:left w:val="nil"/>
              <w:bottom w:val="nil"/>
              <w:right w:val="single" w:color="000000" w:sz="6" w:space="0"/>
            </w:tcBorders>
            <w:shd w:val="clear" w:color="auto" w:fill="FFFFFF"/>
            <w:tcMar>
              <w:left w:w="105" w:type="dxa"/>
              <w:right w:w="105" w:type="dxa"/>
            </w:tcMar>
            <w:vAlign w:val="center"/>
          </w:tcPr>
          <w:p>
            <w:pPr>
              <w:rPr>
                <w:rFonts w:hint="default" w:ascii="Arial" w:hAnsi="Arial" w:cs="Arial"/>
                <w:i w:val="0"/>
                <w:caps w:val="0"/>
                <w:color w:val="333333"/>
                <w:spacing w:val="0"/>
                <w:sz w:val="21"/>
                <w:szCs w:val="21"/>
              </w:rPr>
            </w:pPr>
          </w:p>
        </w:tc>
        <w:tc>
          <w:tcPr>
            <w:tcW w:w="1530"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ascii="Arial" w:hAnsi="Arial" w:cs="Arial"/>
                <w:i w:val="0"/>
                <w:caps w:val="0"/>
                <w:color w:val="333333"/>
                <w:spacing w:val="0"/>
                <w:sz w:val="21"/>
                <w:szCs w:val="21"/>
              </w:rPr>
            </w:pPr>
          </w:p>
        </w:tc>
      </w:tr>
      <w:tr>
        <w:tblPrEx>
          <w:tblLayout w:type="fixed"/>
          <w:tblCellMar>
            <w:top w:w="0" w:type="dxa"/>
            <w:left w:w="0" w:type="dxa"/>
            <w:bottom w:w="0" w:type="dxa"/>
            <w:right w:w="0" w:type="dxa"/>
          </w:tblCellMar>
        </w:tblPrEx>
        <w:trPr>
          <w:trHeight w:val="465" w:hRule="atLeast"/>
        </w:trPr>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ascii="Arial" w:hAnsi="Arial" w:cs="Arial"/>
                <w:i w:val="0"/>
                <w:caps w:val="0"/>
                <w:color w:val="333333"/>
                <w:spacing w:val="0"/>
                <w:sz w:val="21"/>
                <w:szCs w:val="21"/>
              </w:rPr>
            </w:pPr>
          </w:p>
        </w:tc>
        <w:tc>
          <w:tcPr>
            <w:tcW w:w="1080" w:type="dxa"/>
            <w:vMerge w:val="continue"/>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rPr>
                <w:rFonts w:hint="default" w:ascii="Arial" w:hAnsi="Arial" w:cs="Arial"/>
                <w:i w:val="0"/>
                <w:caps w:val="0"/>
                <w:color w:val="333333"/>
                <w:spacing w:val="0"/>
                <w:sz w:val="21"/>
                <w:szCs w:val="21"/>
              </w:rPr>
            </w:pPr>
          </w:p>
        </w:tc>
        <w:tc>
          <w:tcPr>
            <w:tcW w:w="720" w:type="dxa"/>
            <w:vMerge w:val="continue"/>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rPr>
                <w:rFonts w:hint="default" w:ascii="Arial" w:hAnsi="Arial" w:cs="Arial"/>
                <w:i w:val="0"/>
                <w:caps w:val="0"/>
                <w:color w:val="333333"/>
                <w:spacing w:val="0"/>
                <w:sz w:val="21"/>
                <w:szCs w:val="21"/>
              </w:rPr>
            </w:pPr>
          </w:p>
        </w:tc>
        <w:tc>
          <w:tcPr>
            <w:tcW w:w="990" w:type="dxa"/>
            <w:vMerge w:val="continue"/>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rPr>
                <w:rFonts w:hint="default" w:ascii="Arial" w:hAnsi="Arial" w:cs="Arial"/>
                <w:i w:val="0"/>
                <w:caps w:val="0"/>
                <w:color w:val="333333"/>
                <w:spacing w:val="0"/>
                <w:sz w:val="21"/>
                <w:szCs w:val="21"/>
              </w:rPr>
            </w:pPr>
          </w:p>
        </w:tc>
        <w:tc>
          <w:tcPr>
            <w:tcW w:w="900" w:type="dxa"/>
            <w:vMerge w:val="continue"/>
            <w:tcBorders>
              <w:top w:val="nil"/>
              <w:left w:val="nil"/>
              <w:bottom w:val="nil"/>
              <w:right w:val="single" w:color="000000" w:sz="6" w:space="0"/>
            </w:tcBorders>
            <w:shd w:val="clear" w:color="auto" w:fill="FFFFFF"/>
            <w:tcMar>
              <w:left w:w="105" w:type="dxa"/>
              <w:right w:w="105" w:type="dxa"/>
            </w:tcMar>
            <w:vAlign w:val="center"/>
          </w:tcPr>
          <w:p>
            <w:pPr>
              <w:rPr>
                <w:rFonts w:hint="default" w:ascii="Arial" w:hAnsi="Arial" w:cs="Arial"/>
                <w:i w:val="0"/>
                <w:caps w:val="0"/>
                <w:color w:val="333333"/>
                <w:spacing w:val="0"/>
                <w:sz w:val="21"/>
                <w:szCs w:val="21"/>
              </w:rPr>
            </w:pPr>
          </w:p>
        </w:tc>
        <w:tc>
          <w:tcPr>
            <w:tcW w:w="1590" w:type="dxa"/>
            <w:vMerge w:val="continue"/>
            <w:tcBorders>
              <w:top w:val="nil"/>
              <w:left w:val="nil"/>
              <w:bottom w:val="nil"/>
              <w:right w:val="single" w:color="000000" w:sz="6" w:space="0"/>
            </w:tcBorders>
            <w:shd w:val="clear" w:color="auto" w:fill="FFFFFF"/>
            <w:tcMar>
              <w:left w:w="105" w:type="dxa"/>
              <w:right w:w="105" w:type="dxa"/>
            </w:tcMar>
            <w:vAlign w:val="center"/>
          </w:tcPr>
          <w:p>
            <w:pPr>
              <w:rPr>
                <w:rFonts w:hint="default" w:ascii="Arial" w:hAnsi="Arial" w:cs="Arial"/>
                <w:i w:val="0"/>
                <w:caps w:val="0"/>
                <w:color w:val="333333"/>
                <w:spacing w:val="0"/>
                <w:sz w:val="21"/>
                <w:szCs w:val="21"/>
              </w:rPr>
            </w:pPr>
          </w:p>
        </w:tc>
        <w:tc>
          <w:tcPr>
            <w:tcW w:w="93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textAlignment w:val="center"/>
              <w:rPr>
                <w:color w:val="333333"/>
                <w:sz w:val="21"/>
                <w:szCs w:val="21"/>
              </w:rPr>
            </w:pPr>
            <w:r>
              <w:rPr>
                <w:rFonts w:hint="eastAsia" w:ascii="宋体" w:hAnsi="宋体" w:eastAsia="宋体" w:cs="宋体"/>
                <w:i w:val="0"/>
                <w:caps w:val="0"/>
                <w:color w:val="333333"/>
                <w:spacing w:val="0"/>
                <w:kern w:val="0"/>
                <w:sz w:val="19"/>
                <w:szCs w:val="19"/>
                <w:bdr w:val="none" w:color="auto" w:sz="0" w:space="0"/>
                <w:lang w:val="en-US" w:eastAsia="zh-CN" w:bidi="ar"/>
              </w:rPr>
              <w:t>吴永贵</w:t>
            </w:r>
          </w:p>
        </w:tc>
        <w:tc>
          <w:tcPr>
            <w:tcW w:w="1095" w:type="dxa"/>
            <w:vMerge w:val="continue"/>
            <w:tcBorders>
              <w:top w:val="single" w:color="000000" w:sz="6" w:space="0"/>
              <w:left w:val="nil"/>
              <w:bottom w:val="nil"/>
              <w:right w:val="single" w:color="000000" w:sz="6" w:space="0"/>
            </w:tcBorders>
            <w:shd w:val="clear" w:color="auto" w:fill="FFFFFF"/>
            <w:tcMar>
              <w:left w:w="105" w:type="dxa"/>
              <w:right w:w="105" w:type="dxa"/>
            </w:tcMar>
            <w:vAlign w:val="center"/>
          </w:tcPr>
          <w:p>
            <w:pPr>
              <w:rPr>
                <w:rFonts w:hint="default" w:ascii="Arial" w:hAnsi="Arial" w:cs="Arial"/>
                <w:i w:val="0"/>
                <w:caps w:val="0"/>
                <w:color w:val="333333"/>
                <w:spacing w:val="0"/>
                <w:sz w:val="21"/>
                <w:szCs w:val="21"/>
              </w:rPr>
            </w:pPr>
          </w:p>
        </w:tc>
        <w:tc>
          <w:tcPr>
            <w:tcW w:w="1530"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ascii="Arial" w:hAnsi="Arial" w:cs="Arial"/>
                <w:i w:val="0"/>
                <w:caps w:val="0"/>
                <w:color w:val="333333"/>
                <w:spacing w:val="0"/>
                <w:sz w:val="21"/>
                <w:szCs w:val="21"/>
              </w:rPr>
            </w:pPr>
          </w:p>
        </w:tc>
      </w:tr>
      <w:tr>
        <w:tblPrEx>
          <w:tblLayout w:type="fixed"/>
          <w:tblCellMar>
            <w:top w:w="0" w:type="dxa"/>
            <w:left w:w="0" w:type="dxa"/>
            <w:bottom w:w="0" w:type="dxa"/>
            <w:right w:w="0" w:type="dxa"/>
          </w:tblCellMar>
        </w:tblPrEx>
        <w:trPr>
          <w:trHeight w:val="465" w:hRule="atLeast"/>
        </w:trPr>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ascii="Arial" w:hAnsi="Arial" w:cs="Arial"/>
                <w:i w:val="0"/>
                <w:caps w:val="0"/>
                <w:color w:val="333333"/>
                <w:spacing w:val="0"/>
                <w:sz w:val="21"/>
                <w:szCs w:val="21"/>
              </w:rPr>
            </w:pPr>
          </w:p>
        </w:tc>
        <w:tc>
          <w:tcPr>
            <w:tcW w:w="1080" w:type="dxa"/>
            <w:vMerge w:val="continue"/>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rPr>
                <w:rFonts w:hint="default" w:ascii="Arial" w:hAnsi="Arial" w:cs="Arial"/>
                <w:i w:val="0"/>
                <w:caps w:val="0"/>
                <w:color w:val="333333"/>
                <w:spacing w:val="0"/>
                <w:sz w:val="21"/>
                <w:szCs w:val="21"/>
              </w:rPr>
            </w:pPr>
          </w:p>
        </w:tc>
        <w:tc>
          <w:tcPr>
            <w:tcW w:w="720" w:type="dxa"/>
            <w:vMerge w:val="continue"/>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rPr>
                <w:rFonts w:hint="default" w:ascii="Arial" w:hAnsi="Arial" w:cs="Arial"/>
                <w:i w:val="0"/>
                <w:caps w:val="0"/>
                <w:color w:val="333333"/>
                <w:spacing w:val="0"/>
                <w:sz w:val="21"/>
                <w:szCs w:val="21"/>
              </w:rPr>
            </w:pPr>
          </w:p>
        </w:tc>
        <w:tc>
          <w:tcPr>
            <w:tcW w:w="990" w:type="dxa"/>
            <w:vMerge w:val="continue"/>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rPr>
                <w:rFonts w:hint="default" w:ascii="Arial" w:hAnsi="Arial" w:cs="Arial"/>
                <w:i w:val="0"/>
                <w:caps w:val="0"/>
                <w:color w:val="333333"/>
                <w:spacing w:val="0"/>
                <w:sz w:val="21"/>
                <w:szCs w:val="21"/>
              </w:rPr>
            </w:pPr>
          </w:p>
        </w:tc>
        <w:tc>
          <w:tcPr>
            <w:tcW w:w="900" w:type="dxa"/>
            <w:vMerge w:val="restar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textAlignment w:val="center"/>
              <w:rPr>
                <w:color w:val="333333"/>
                <w:sz w:val="21"/>
                <w:szCs w:val="21"/>
              </w:rPr>
            </w:pPr>
            <w:r>
              <w:rPr>
                <w:rFonts w:hint="default" w:ascii="Times New Roman" w:hAnsi="Times New Roman" w:cs="Times New Roman" w:eastAsiaTheme="minorEastAsia"/>
                <w:i w:val="0"/>
                <w:caps w:val="0"/>
                <w:color w:val="333333"/>
                <w:spacing w:val="0"/>
                <w:kern w:val="0"/>
                <w:sz w:val="19"/>
                <w:szCs w:val="19"/>
                <w:bdr w:val="none" w:color="auto" w:sz="0" w:space="0"/>
                <w:lang w:val="en-US" w:eastAsia="zh-CN" w:bidi="ar"/>
              </w:rPr>
              <w:t>03</w:t>
            </w:r>
          </w:p>
        </w:tc>
        <w:tc>
          <w:tcPr>
            <w:tcW w:w="1590" w:type="dxa"/>
            <w:vMerge w:val="restar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textAlignment w:val="center"/>
              <w:rPr>
                <w:color w:val="333333"/>
                <w:sz w:val="21"/>
                <w:szCs w:val="21"/>
              </w:rPr>
            </w:pPr>
            <w:r>
              <w:rPr>
                <w:rFonts w:hint="eastAsia" w:ascii="宋体" w:hAnsi="宋体" w:eastAsia="宋体" w:cs="宋体"/>
                <w:i w:val="0"/>
                <w:caps w:val="0"/>
                <w:color w:val="333333"/>
                <w:spacing w:val="0"/>
                <w:kern w:val="0"/>
                <w:sz w:val="19"/>
                <w:szCs w:val="19"/>
                <w:bdr w:val="none" w:color="auto" w:sz="0" w:space="0"/>
                <w:lang w:val="en-US" w:eastAsia="zh-CN" w:bidi="ar"/>
              </w:rPr>
              <w:t>古生物学与地层学</w:t>
            </w:r>
          </w:p>
        </w:tc>
        <w:tc>
          <w:tcPr>
            <w:tcW w:w="93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textAlignment w:val="center"/>
              <w:rPr>
                <w:color w:val="333333"/>
                <w:sz w:val="21"/>
                <w:szCs w:val="21"/>
              </w:rPr>
            </w:pPr>
            <w:r>
              <w:rPr>
                <w:rFonts w:hint="eastAsia" w:ascii="宋体" w:hAnsi="宋体" w:eastAsia="宋体" w:cs="宋体"/>
                <w:i w:val="0"/>
                <w:caps w:val="0"/>
                <w:color w:val="333333"/>
                <w:spacing w:val="0"/>
                <w:kern w:val="0"/>
                <w:sz w:val="19"/>
                <w:szCs w:val="19"/>
                <w:bdr w:val="none" w:color="auto" w:sz="0" w:space="0"/>
                <w:lang w:val="en-US" w:eastAsia="zh-CN" w:bidi="ar"/>
              </w:rPr>
              <w:t>赵方臣</w:t>
            </w:r>
          </w:p>
        </w:tc>
        <w:tc>
          <w:tcPr>
            <w:tcW w:w="1095" w:type="dxa"/>
            <w:vMerge w:val="restar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textAlignment w:val="center"/>
              <w:rPr>
                <w:color w:val="333333"/>
                <w:sz w:val="21"/>
                <w:szCs w:val="21"/>
              </w:rPr>
            </w:pPr>
            <w:r>
              <w:rPr>
                <w:rFonts w:hint="default" w:ascii="Times New Roman" w:hAnsi="Times New Roman" w:cs="Times New Roman" w:eastAsiaTheme="minorEastAsia"/>
                <w:i w:val="0"/>
                <w:caps w:val="0"/>
                <w:color w:val="333333"/>
                <w:spacing w:val="0"/>
                <w:kern w:val="0"/>
                <w:sz w:val="19"/>
                <w:szCs w:val="19"/>
                <w:bdr w:val="none" w:color="auto" w:sz="0" w:space="0"/>
                <w:lang w:val="en-US" w:eastAsia="zh-CN" w:bidi="ar"/>
              </w:rPr>
              <w:t>2</w:t>
            </w:r>
          </w:p>
        </w:tc>
        <w:tc>
          <w:tcPr>
            <w:tcW w:w="1530"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center"/>
              <w:rPr>
                <w:color w:val="333333"/>
                <w:sz w:val="21"/>
                <w:szCs w:val="21"/>
              </w:rPr>
            </w:pPr>
            <w:r>
              <w:rPr>
                <w:rFonts w:hint="default" w:ascii="Times New Roman" w:hAnsi="Times New Roman" w:cs="Times New Roman" w:eastAsiaTheme="minorEastAsia"/>
                <w:i w:val="0"/>
                <w:caps w:val="0"/>
                <w:color w:val="333333"/>
                <w:spacing w:val="0"/>
                <w:kern w:val="0"/>
                <w:sz w:val="19"/>
                <w:szCs w:val="19"/>
                <w:bdr w:val="none" w:color="auto" w:sz="0" w:space="0"/>
                <w:lang w:val="en-US" w:eastAsia="zh-CN" w:bidi="ar"/>
              </w:rPr>
              <w:t> </w:t>
            </w:r>
          </w:p>
        </w:tc>
      </w:tr>
      <w:tr>
        <w:tblPrEx>
          <w:tblLayout w:type="fixed"/>
          <w:tblCellMar>
            <w:top w:w="0" w:type="dxa"/>
            <w:left w:w="0" w:type="dxa"/>
            <w:bottom w:w="0" w:type="dxa"/>
            <w:right w:w="0" w:type="dxa"/>
          </w:tblCellMar>
        </w:tblPrEx>
        <w:trPr>
          <w:trHeight w:val="360" w:hRule="atLeast"/>
        </w:trPr>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ascii="Arial" w:hAnsi="Arial" w:cs="Arial"/>
                <w:i w:val="0"/>
                <w:caps w:val="0"/>
                <w:color w:val="333333"/>
                <w:spacing w:val="0"/>
                <w:sz w:val="21"/>
                <w:szCs w:val="21"/>
              </w:rPr>
            </w:pPr>
          </w:p>
        </w:tc>
        <w:tc>
          <w:tcPr>
            <w:tcW w:w="1080" w:type="dxa"/>
            <w:vMerge w:val="continue"/>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rPr>
                <w:rFonts w:hint="default" w:ascii="Arial" w:hAnsi="Arial" w:cs="Arial"/>
                <w:i w:val="0"/>
                <w:caps w:val="0"/>
                <w:color w:val="333333"/>
                <w:spacing w:val="0"/>
                <w:sz w:val="21"/>
                <w:szCs w:val="21"/>
              </w:rPr>
            </w:pPr>
          </w:p>
        </w:tc>
        <w:tc>
          <w:tcPr>
            <w:tcW w:w="720" w:type="dxa"/>
            <w:vMerge w:val="continue"/>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rPr>
                <w:rFonts w:hint="default" w:ascii="Arial" w:hAnsi="Arial" w:cs="Arial"/>
                <w:i w:val="0"/>
                <w:caps w:val="0"/>
                <w:color w:val="333333"/>
                <w:spacing w:val="0"/>
                <w:sz w:val="21"/>
                <w:szCs w:val="21"/>
              </w:rPr>
            </w:pPr>
          </w:p>
        </w:tc>
        <w:tc>
          <w:tcPr>
            <w:tcW w:w="990" w:type="dxa"/>
            <w:vMerge w:val="continue"/>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rPr>
                <w:rFonts w:hint="default" w:ascii="Arial" w:hAnsi="Arial" w:cs="Arial"/>
                <w:i w:val="0"/>
                <w:caps w:val="0"/>
                <w:color w:val="333333"/>
                <w:spacing w:val="0"/>
                <w:sz w:val="21"/>
                <w:szCs w:val="21"/>
              </w:rPr>
            </w:pPr>
          </w:p>
        </w:tc>
        <w:tc>
          <w:tcPr>
            <w:tcW w:w="900" w:type="dxa"/>
            <w:vMerge w:val="continue"/>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rPr>
                <w:rFonts w:hint="default" w:ascii="Arial" w:hAnsi="Arial" w:cs="Arial"/>
                <w:i w:val="0"/>
                <w:caps w:val="0"/>
                <w:color w:val="333333"/>
                <w:spacing w:val="0"/>
                <w:sz w:val="21"/>
                <w:szCs w:val="21"/>
              </w:rPr>
            </w:pPr>
          </w:p>
        </w:tc>
        <w:tc>
          <w:tcPr>
            <w:tcW w:w="1590" w:type="dxa"/>
            <w:vMerge w:val="continue"/>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rPr>
                <w:rFonts w:hint="default" w:ascii="Arial" w:hAnsi="Arial" w:cs="Arial"/>
                <w:i w:val="0"/>
                <w:caps w:val="0"/>
                <w:color w:val="333333"/>
                <w:spacing w:val="0"/>
                <w:sz w:val="21"/>
                <w:szCs w:val="21"/>
              </w:rPr>
            </w:pPr>
          </w:p>
        </w:tc>
        <w:tc>
          <w:tcPr>
            <w:tcW w:w="93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jc w:val="both"/>
              <w:textAlignment w:val="center"/>
              <w:rPr>
                <w:color w:val="333333"/>
                <w:sz w:val="21"/>
                <w:szCs w:val="21"/>
              </w:rPr>
            </w:pPr>
            <w:r>
              <w:rPr>
                <w:rFonts w:hint="eastAsia" w:ascii="宋体" w:hAnsi="宋体" w:eastAsia="宋体" w:cs="宋体"/>
                <w:i w:val="0"/>
                <w:caps w:val="0"/>
                <w:color w:val="333333"/>
                <w:spacing w:val="0"/>
                <w:kern w:val="0"/>
                <w:sz w:val="19"/>
                <w:szCs w:val="19"/>
                <w:bdr w:val="none" w:color="auto" w:sz="0" w:space="0"/>
                <w:lang w:val="en-US" w:eastAsia="zh-CN" w:bidi="ar"/>
              </w:rPr>
              <w:t>殷宗军</w:t>
            </w:r>
          </w:p>
        </w:tc>
        <w:tc>
          <w:tcPr>
            <w:tcW w:w="1095" w:type="dxa"/>
            <w:vMerge w:val="continue"/>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rPr>
                <w:rFonts w:hint="default" w:ascii="Arial" w:hAnsi="Arial" w:cs="Arial"/>
                <w:i w:val="0"/>
                <w:caps w:val="0"/>
                <w:color w:val="333333"/>
                <w:spacing w:val="0"/>
                <w:sz w:val="21"/>
                <w:szCs w:val="21"/>
              </w:rPr>
            </w:pPr>
          </w:p>
        </w:tc>
        <w:tc>
          <w:tcPr>
            <w:tcW w:w="1530"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ascii="Arial" w:hAnsi="Arial" w:cs="Arial"/>
                <w:i w:val="0"/>
                <w:caps w:val="0"/>
                <w:color w:val="333333"/>
                <w:spacing w:val="0"/>
                <w:sz w:val="21"/>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center"/>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0"/>
        <w:jc w:val="left"/>
        <w:rPr>
          <w:rFonts w:hint="default" w:ascii="Arial" w:hAnsi="Arial" w:cs="Arial"/>
          <w:i w:val="0"/>
          <w:caps w:val="0"/>
          <w:color w:val="333333"/>
          <w:spacing w:val="0"/>
          <w:sz w:val="21"/>
          <w:szCs w:val="21"/>
        </w:rPr>
      </w:pPr>
      <w:r>
        <w:rPr>
          <w:rStyle w:val="4"/>
          <w:rFonts w:hint="default" w:ascii="仿宋" w:hAnsi="仿宋" w:eastAsia="仿宋" w:cs="仿宋"/>
          <w:b/>
          <w:i w:val="0"/>
          <w:caps w:val="0"/>
          <w:color w:val="333333"/>
          <w:spacing w:val="0"/>
          <w:kern w:val="0"/>
          <w:sz w:val="28"/>
          <w:szCs w:val="28"/>
          <w:bdr w:val="none" w:color="auto" w:sz="0" w:space="0"/>
          <w:shd w:val="clear" w:fill="FFFFFF"/>
          <w:lang w:val="en-US" w:eastAsia="zh-CN" w:bidi="ar"/>
        </w:rPr>
        <w:t>四、报考条件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both"/>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1.满足《贵州大学2022年博士招生章程》规定的各项基本报考条件。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both"/>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2.外国语水平要求（满足其中一项即可）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both"/>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（1）全国大学英语四、六级考试合格，或四级成绩在425分及以上，或六级考试达到400分及以上；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both"/>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（2）TOEFL成绩≥80；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both"/>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（3）IELTS（A类学术类）成绩5.5分及以上；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both"/>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（4）GRE成绩1100分及以上(新标准300分及以上）；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both"/>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（5）英语专业四级或八级考试合格；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both"/>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（6）在英语国家或地区获得硕士或博士学位且获得教育部留学服务中心提供的学位认证。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both"/>
        <w:rPr>
          <w:rFonts w:hint="default" w:ascii="Arial" w:hAnsi="Arial" w:cs="Arial"/>
          <w:i w:val="0"/>
          <w:caps w:val="0"/>
          <w:color w:val="333333"/>
          <w:spacing w:val="0"/>
          <w:sz w:val="21"/>
          <w:szCs w:val="21"/>
        </w:rPr>
      </w:pPr>
      <w:r>
        <w:rPr>
          <w:rFonts w:ascii="仿宋_gb2312" w:hAnsi="仿宋_gb2312" w:eastAsia="仿宋_gb2312" w:cs="仿宋_gb2312"/>
          <w:i w:val="0"/>
          <w:caps w:val="0"/>
          <w:color w:val="333333"/>
          <w:spacing w:val="0"/>
          <w:kern w:val="0"/>
          <w:sz w:val="28"/>
          <w:szCs w:val="28"/>
          <w:bdr w:val="none" w:color="auto" w:sz="0" w:space="0"/>
          <w:shd w:val="clear" w:fill="FFFFFF"/>
          <w:lang w:val="en-US" w:eastAsia="zh-CN" w:bidi="ar"/>
        </w:rPr>
        <w:t>3.</w:t>
      </w: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学术要求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both"/>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以第一作者身份在中文核心期刊或EI、SCI收录刊物公开发表与专业相关的学术论文1篇及以上（应届生可提供论文已录用和拟发表卷期证明）。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both"/>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4.其他要求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both"/>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（1）学历要求：攻读硕士学位期间的专业方向原则上要与所报考的博士导师研究方向相同或相近。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both"/>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（2）学习方式：攻博期间需全脱产学习。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0"/>
        <w:jc w:val="both"/>
        <w:rPr>
          <w:rFonts w:hint="default" w:ascii="Arial" w:hAnsi="Arial" w:cs="Arial"/>
          <w:i w:val="0"/>
          <w:caps w:val="0"/>
          <w:color w:val="333333"/>
          <w:spacing w:val="0"/>
          <w:sz w:val="21"/>
          <w:szCs w:val="21"/>
        </w:rPr>
      </w:pPr>
      <w:r>
        <w:rPr>
          <w:rStyle w:val="4"/>
          <w:rFonts w:hint="default" w:ascii="仿宋" w:hAnsi="仿宋" w:eastAsia="仿宋" w:cs="仿宋"/>
          <w:b/>
          <w:i w:val="0"/>
          <w:caps w:val="0"/>
          <w:color w:val="333333"/>
          <w:spacing w:val="0"/>
          <w:kern w:val="0"/>
          <w:sz w:val="28"/>
          <w:szCs w:val="28"/>
          <w:bdr w:val="none" w:color="auto" w:sz="0" w:space="0"/>
          <w:shd w:val="clear" w:fill="FFFFFF"/>
          <w:lang w:val="en-US" w:eastAsia="zh-CN" w:bidi="ar"/>
        </w:rPr>
        <w:t>五、报名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both"/>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1.网上报名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both"/>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w:t>
      </w:r>
      <w:r>
        <w:rPr>
          <w:rFonts w:hint="default" w:ascii="Times New Roman" w:hAnsi="Times New Roman" w:eastAsia="仿宋" w:cs="Times New Roman"/>
          <w:i w:val="0"/>
          <w:caps w:val="0"/>
          <w:color w:val="333333"/>
          <w:spacing w:val="0"/>
          <w:kern w:val="0"/>
          <w:sz w:val="28"/>
          <w:szCs w:val="28"/>
          <w:bdr w:val="none" w:color="auto" w:sz="0" w:space="0"/>
          <w:shd w:val="clear" w:fill="FFFFFF"/>
          <w:lang w:val="en-US" w:eastAsia="zh-CN" w:bidi="ar"/>
        </w:rPr>
        <w:t>1</w:t>
      </w: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w:t>
      </w:r>
      <w:r>
        <w:rPr>
          <w:rStyle w:val="4"/>
          <w:rFonts w:hint="default" w:ascii="仿宋" w:hAnsi="仿宋" w:eastAsia="仿宋" w:cs="仿宋"/>
          <w:b/>
          <w:i w:val="0"/>
          <w:caps w:val="0"/>
          <w:color w:val="333333"/>
          <w:spacing w:val="0"/>
          <w:kern w:val="0"/>
          <w:sz w:val="28"/>
          <w:szCs w:val="28"/>
          <w:bdr w:val="none" w:color="auto" w:sz="0" w:space="0"/>
          <w:shd w:val="clear" w:fill="FFFFFF"/>
          <w:lang w:val="en-US" w:eastAsia="zh-CN" w:bidi="ar"/>
        </w:rPr>
        <w:t>由于招生指标限制，参加</w:t>
      </w:r>
      <w:r>
        <w:rPr>
          <w:rStyle w:val="4"/>
          <w:rFonts w:hint="default" w:ascii="Times New Roman" w:hAnsi="Times New Roman" w:cs="Times New Roman" w:eastAsiaTheme="minorEastAsia"/>
          <w:b/>
          <w:i w:val="0"/>
          <w:caps w:val="0"/>
          <w:color w:val="333333"/>
          <w:spacing w:val="0"/>
          <w:kern w:val="0"/>
          <w:sz w:val="28"/>
          <w:szCs w:val="28"/>
          <w:bdr w:val="none" w:color="auto" w:sz="0" w:space="0"/>
          <w:shd w:val="clear" w:fill="FFFFFF"/>
          <w:lang w:val="en-US" w:eastAsia="zh-CN" w:bidi="ar"/>
        </w:rPr>
        <w:t>“</w:t>
      </w:r>
      <w:r>
        <w:rPr>
          <w:rStyle w:val="4"/>
          <w:rFonts w:hint="default" w:ascii="仿宋" w:hAnsi="仿宋" w:eastAsia="仿宋" w:cs="仿宋"/>
          <w:b/>
          <w:i w:val="0"/>
          <w:caps w:val="0"/>
          <w:color w:val="333333"/>
          <w:spacing w:val="0"/>
          <w:kern w:val="0"/>
          <w:sz w:val="28"/>
          <w:szCs w:val="28"/>
          <w:bdr w:val="none" w:color="auto" w:sz="0" w:space="0"/>
          <w:shd w:val="clear" w:fill="FFFFFF"/>
          <w:lang w:val="en-US" w:eastAsia="zh-CN" w:bidi="ar"/>
        </w:rPr>
        <w:t>申请</w:t>
      </w:r>
      <w:r>
        <w:rPr>
          <w:rStyle w:val="4"/>
          <w:rFonts w:hint="default" w:ascii="Times New Roman" w:hAnsi="Times New Roman" w:cs="Times New Roman" w:eastAsiaTheme="minorEastAsia"/>
          <w:b/>
          <w:i w:val="0"/>
          <w:caps w:val="0"/>
          <w:color w:val="333333"/>
          <w:spacing w:val="0"/>
          <w:kern w:val="0"/>
          <w:sz w:val="28"/>
          <w:szCs w:val="28"/>
          <w:bdr w:val="none" w:color="auto" w:sz="0" w:space="0"/>
          <w:shd w:val="clear" w:fill="FFFFFF"/>
          <w:lang w:val="en-US" w:eastAsia="zh-CN" w:bidi="ar"/>
        </w:rPr>
        <w:t>-</w:t>
      </w:r>
      <w:r>
        <w:rPr>
          <w:rStyle w:val="4"/>
          <w:rFonts w:hint="default" w:ascii="仿宋" w:hAnsi="仿宋" w:eastAsia="仿宋" w:cs="仿宋"/>
          <w:b/>
          <w:i w:val="0"/>
          <w:caps w:val="0"/>
          <w:color w:val="333333"/>
          <w:spacing w:val="0"/>
          <w:kern w:val="0"/>
          <w:sz w:val="28"/>
          <w:szCs w:val="28"/>
          <w:bdr w:val="none" w:color="auto" w:sz="0" w:space="0"/>
          <w:shd w:val="clear" w:fill="FFFFFF"/>
          <w:lang w:val="en-US" w:eastAsia="zh-CN" w:bidi="ar"/>
        </w:rPr>
        <w:t>考核</w:t>
      </w:r>
      <w:r>
        <w:rPr>
          <w:rStyle w:val="4"/>
          <w:rFonts w:hint="default" w:ascii="Times New Roman" w:hAnsi="Times New Roman" w:cs="Times New Roman" w:eastAsiaTheme="minorEastAsia"/>
          <w:b/>
          <w:i w:val="0"/>
          <w:caps w:val="0"/>
          <w:color w:val="333333"/>
          <w:spacing w:val="0"/>
          <w:kern w:val="0"/>
          <w:sz w:val="28"/>
          <w:szCs w:val="28"/>
          <w:bdr w:val="none" w:color="auto" w:sz="0" w:space="0"/>
          <w:shd w:val="clear" w:fill="FFFFFF"/>
          <w:lang w:val="en-US" w:eastAsia="zh-CN" w:bidi="ar"/>
        </w:rPr>
        <w:t>”</w:t>
      </w:r>
      <w:r>
        <w:rPr>
          <w:rStyle w:val="4"/>
          <w:rFonts w:hint="default" w:ascii="仿宋" w:hAnsi="仿宋" w:eastAsia="仿宋" w:cs="仿宋"/>
          <w:b/>
          <w:i w:val="0"/>
          <w:caps w:val="0"/>
          <w:color w:val="333333"/>
          <w:spacing w:val="0"/>
          <w:kern w:val="0"/>
          <w:sz w:val="28"/>
          <w:szCs w:val="28"/>
          <w:bdr w:val="none" w:color="auto" w:sz="0" w:space="0"/>
          <w:shd w:val="clear" w:fill="FFFFFF"/>
          <w:lang w:val="en-US" w:eastAsia="zh-CN" w:bidi="ar"/>
        </w:rPr>
        <w:t>制的考生，须在报考前征得报考导师同意。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40"/>
        <w:jc w:val="both"/>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w:t>
      </w:r>
      <w:r>
        <w:rPr>
          <w:rFonts w:hint="default" w:ascii="Times New Roman" w:hAnsi="Times New Roman" w:eastAsia="仿宋" w:cs="Times New Roman"/>
          <w:i w:val="0"/>
          <w:caps w:val="0"/>
          <w:color w:val="333333"/>
          <w:spacing w:val="0"/>
          <w:kern w:val="0"/>
          <w:sz w:val="28"/>
          <w:szCs w:val="28"/>
          <w:bdr w:val="none" w:color="auto" w:sz="0" w:space="0"/>
          <w:shd w:val="clear" w:fill="FFFFFF"/>
          <w:lang w:val="en-US" w:eastAsia="zh-CN" w:bidi="ar"/>
        </w:rPr>
        <w:t>2</w:t>
      </w: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）报名网址：中国研究生招生信息网</w:t>
      </w:r>
      <w:r>
        <w:rPr>
          <w:rFonts w:hint="default" w:ascii="Times New Roman" w:hAnsi="Times New Roman" w:cs="Times New Roman" w:eastAsiaTheme="minorEastAsia"/>
          <w:i w:val="0"/>
          <w:caps w:val="0"/>
          <w:color w:val="333333"/>
          <w:spacing w:val="0"/>
          <w:kern w:val="0"/>
          <w:sz w:val="28"/>
          <w:szCs w:val="28"/>
          <w:bdr w:val="none" w:color="auto" w:sz="0" w:space="0"/>
          <w:shd w:val="clear" w:fill="FFFFFF"/>
          <w:lang w:val="en-US" w:eastAsia="zh-CN" w:bidi="ar"/>
        </w:rPr>
        <w:t>http://yz.chsi.com.cn/bsbm</w:t>
      </w: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both"/>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w:t>
      </w:r>
      <w:r>
        <w:rPr>
          <w:rFonts w:hint="default" w:ascii="Times New Roman" w:hAnsi="Times New Roman" w:cs="Times New Roman" w:eastAsiaTheme="minorEastAsia"/>
          <w:i w:val="0"/>
          <w:caps w:val="0"/>
          <w:color w:val="333333"/>
          <w:spacing w:val="0"/>
          <w:kern w:val="0"/>
          <w:sz w:val="28"/>
          <w:szCs w:val="28"/>
          <w:bdr w:val="none" w:color="auto" w:sz="0" w:space="0"/>
          <w:shd w:val="clear" w:fill="FFFFFF"/>
          <w:lang w:val="en-US" w:eastAsia="zh-CN" w:bidi="ar"/>
        </w:rPr>
        <w:t>3</w:t>
      </w: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）报名时间：</w:t>
      </w:r>
      <w:r>
        <w:rPr>
          <w:rFonts w:hint="default" w:ascii="Times New Roman" w:hAnsi="Times New Roman" w:cs="Times New Roman" w:eastAsiaTheme="minorEastAsia"/>
          <w:i w:val="0"/>
          <w:caps w:val="0"/>
          <w:color w:val="333333"/>
          <w:spacing w:val="0"/>
          <w:kern w:val="0"/>
          <w:sz w:val="28"/>
          <w:szCs w:val="28"/>
          <w:bdr w:val="none" w:color="auto" w:sz="0" w:space="0"/>
          <w:shd w:val="clear" w:fill="FFFFFF"/>
          <w:lang w:val="en-US" w:eastAsia="zh-CN" w:bidi="ar"/>
        </w:rPr>
        <w:t>2022</w:t>
      </w: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年</w:t>
      </w:r>
      <w:r>
        <w:rPr>
          <w:rFonts w:hint="default" w:ascii="Times New Roman" w:hAnsi="Times New Roman" w:cs="Times New Roman" w:eastAsiaTheme="minorEastAsia"/>
          <w:i w:val="0"/>
          <w:caps w:val="0"/>
          <w:color w:val="333333"/>
          <w:spacing w:val="0"/>
          <w:kern w:val="0"/>
          <w:sz w:val="28"/>
          <w:szCs w:val="28"/>
          <w:bdr w:val="none" w:color="auto" w:sz="0" w:space="0"/>
          <w:shd w:val="clear" w:fill="FFFFFF"/>
          <w:lang w:val="en-US" w:eastAsia="zh-CN" w:bidi="ar"/>
        </w:rPr>
        <w:t>3</w:t>
      </w: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月</w:t>
      </w:r>
      <w:r>
        <w:rPr>
          <w:rFonts w:hint="default" w:ascii="Times New Roman" w:hAnsi="Times New Roman" w:eastAsia="仿宋" w:cs="Times New Roman"/>
          <w:i w:val="0"/>
          <w:caps w:val="0"/>
          <w:color w:val="333333"/>
          <w:spacing w:val="0"/>
          <w:kern w:val="0"/>
          <w:sz w:val="28"/>
          <w:szCs w:val="28"/>
          <w:bdr w:val="none" w:color="auto" w:sz="0" w:space="0"/>
          <w:shd w:val="clear" w:fill="FFFFFF"/>
          <w:lang w:val="en-US" w:eastAsia="zh-CN" w:bidi="ar"/>
        </w:rPr>
        <w:t>20</w:t>
      </w: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日</w:t>
      </w:r>
      <w:r>
        <w:rPr>
          <w:rFonts w:hint="default" w:ascii="Times New Roman" w:hAnsi="Times New Roman" w:eastAsia="仿宋" w:cs="Times New Roman"/>
          <w:i w:val="0"/>
          <w:caps w:val="0"/>
          <w:color w:val="333333"/>
          <w:spacing w:val="0"/>
          <w:kern w:val="0"/>
          <w:sz w:val="28"/>
          <w:szCs w:val="28"/>
          <w:bdr w:val="none" w:color="auto" w:sz="0" w:space="0"/>
          <w:shd w:val="clear" w:fill="FFFFFF"/>
          <w:lang w:val="en-US" w:eastAsia="zh-CN" w:bidi="ar"/>
        </w:rPr>
        <w:t>8</w:t>
      </w: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w:t>
      </w:r>
      <w:r>
        <w:rPr>
          <w:rFonts w:hint="default" w:ascii="Times New Roman" w:hAnsi="Times New Roman" w:eastAsia="仿宋" w:cs="Times New Roman"/>
          <w:i w:val="0"/>
          <w:caps w:val="0"/>
          <w:color w:val="333333"/>
          <w:spacing w:val="0"/>
          <w:kern w:val="0"/>
          <w:sz w:val="28"/>
          <w:szCs w:val="28"/>
          <w:bdr w:val="none" w:color="auto" w:sz="0" w:space="0"/>
          <w:shd w:val="clear" w:fill="FFFFFF"/>
          <w:lang w:val="en-US" w:eastAsia="zh-CN" w:bidi="ar"/>
        </w:rPr>
        <w:t>00</w:t>
      </w: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w:t>
      </w:r>
      <w:r>
        <w:rPr>
          <w:rFonts w:hint="default" w:ascii="Times New Roman" w:hAnsi="Times New Roman" w:eastAsia="仿宋" w:cs="Times New Roman"/>
          <w:i w:val="0"/>
          <w:caps w:val="0"/>
          <w:color w:val="333333"/>
          <w:spacing w:val="0"/>
          <w:kern w:val="0"/>
          <w:sz w:val="28"/>
          <w:szCs w:val="28"/>
          <w:bdr w:val="none" w:color="auto" w:sz="0" w:space="0"/>
          <w:shd w:val="clear" w:fill="FFFFFF"/>
          <w:lang w:val="en-US" w:eastAsia="zh-CN" w:bidi="ar"/>
        </w:rPr>
        <w:t>4</w:t>
      </w: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月</w:t>
      </w:r>
      <w:r>
        <w:rPr>
          <w:rFonts w:hint="default" w:ascii="Times New Roman" w:hAnsi="Times New Roman" w:eastAsia="仿宋" w:cs="Times New Roman"/>
          <w:i w:val="0"/>
          <w:caps w:val="0"/>
          <w:color w:val="333333"/>
          <w:spacing w:val="0"/>
          <w:kern w:val="0"/>
          <w:sz w:val="28"/>
          <w:szCs w:val="28"/>
          <w:bdr w:val="none" w:color="auto" w:sz="0" w:space="0"/>
          <w:shd w:val="clear" w:fill="FFFFFF"/>
          <w:lang w:val="en-US" w:eastAsia="zh-CN" w:bidi="ar"/>
        </w:rPr>
        <w:t>10</w:t>
      </w: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日</w:t>
      </w:r>
      <w:r>
        <w:rPr>
          <w:rFonts w:hint="default" w:ascii="Times New Roman" w:hAnsi="Times New Roman" w:eastAsia="仿宋" w:cs="Times New Roman"/>
          <w:i w:val="0"/>
          <w:caps w:val="0"/>
          <w:color w:val="333333"/>
          <w:spacing w:val="0"/>
          <w:kern w:val="0"/>
          <w:sz w:val="28"/>
          <w:szCs w:val="28"/>
          <w:bdr w:val="none" w:color="auto" w:sz="0" w:space="0"/>
          <w:shd w:val="clear" w:fill="FFFFFF"/>
          <w:lang w:val="en-US" w:eastAsia="zh-CN" w:bidi="ar"/>
        </w:rPr>
        <w:t>24</w:t>
      </w: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w:t>
      </w:r>
      <w:r>
        <w:rPr>
          <w:rFonts w:hint="default" w:ascii="Times New Roman" w:hAnsi="Times New Roman" w:eastAsia="仿宋" w:cs="Times New Roman"/>
          <w:i w:val="0"/>
          <w:caps w:val="0"/>
          <w:color w:val="333333"/>
          <w:spacing w:val="0"/>
          <w:kern w:val="0"/>
          <w:sz w:val="28"/>
          <w:szCs w:val="28"/>
          <w:bdr w:val="none" w:color="auto" w:sz="0" w:space="0"/>
          <w:shd w:val="clear" w:fill="FFFFFF"/>
          <w:lang w:val="en-US" w:eastAsia="zh-CN" w:bidi="ar"/>
        </w:rPr>
        <w:t>00</w:t>
      </w: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both"/>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w:t>
      </w:r>
      <w:r>
        <w:rPr>
          <w:rFonts w:hint="default" w:ascii="Times New Roman" w:hAnsi="Times New Roman" w:eastAsia="仿宋" w:cs="Times New Roman"/>
          <w:i w:val="0"/>
          <w:caps w:val="0"/>
          <w:color w:val="333333"/>
          <w:spacing w:val="0"/>
          <w:kern w:val="0"/>
          <w:sz w:val="28"/>
          <w:szCs w:val="28"/>
          <w:bdr w:val="none" w:color="auto" w:sz="0" w:space="0"/>
          <w:shd w:val="clear" w:fill="FFFFFF"/>
          <w:lang w:val="en-US" w:eastAsia="zh-CN" w:bidi="ar"/>
        </w:rPr>
        <w:t>4</w:t>
      </w: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）报名考试费</w:t>
      </w:r>
      <w:r>
        <w:rPr>
          <w:rFonts w:hint="default" w:ascii="Times New Roman" w:hAnsi="Times New Roman" w:cs="Times New Roman" w:eastAsiaTheme="minorEastAsia"/>
          <w:i w:val="0"/>
          <w:caps w:val="0"/>
          <w:color w:val="333333"/>
          <w:spacing w:val="0"/>
          <w:kern w:val="0"/>
          <w:sz w:val="28"/>
          <w:szCs w:val="28"/>
          <w:bdr w:val="none" w:color="auto" w:sz="0" w:space="0"/>
          <w:shd w:val="clear" w:fill="FFFFFF"/>
          <w:lang w:val="en-US" w:eastAsia="zh-CN" w:bidi="ar"/>
        </w:rPr>
        <w:t>180</w:t>
      </w: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元，届时请按网上要求方式缴费。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both"/>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2.提交材料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both"/>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考生须在2022年4月25日之前（以邮戳为准）向本院提交以下纸质申请材料，逾期不提交视为放弃申请博士研究生。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both"/>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①网上报名时打印的报考攻读博士学位研究生报名信息表；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both"/>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②身份证、研究生证（仅针对应届毕业生）复印件；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both"/>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③申请者须提供硕士阶段的学历、学位认证报告（在教育部学信网</w:t>
      </w:r>
      <w:r>
        <w:rPr>
          <w:rFonts w:hint="default" w:ascii="Times New Roman" w:hAnsi="Times New Roman" w:cs="Times New Roman" w:eastAsiaTheme="minorEastAsia"/>
          <w:i w:val="0"/>
          <w:caps w:val="0"/>
          <w:color w:val="333333"/>
          <w:spacing w:val="0"/>
          <w:kern w:val="0"/>
          <w:sz w:val="28"/>
          <w:szCs w:val="28"/>
          <w:bdr w:val="none" w:color="auto" w:sz="0" w:space="0"/>
          <w:shd w:val="clear" w:fill="FFFFFF"/>
          <w:lang w:val="en-US" w:eastAsia="zh-CN" w:bidi="ar"/>
        </w:rPr>
        <w:t>http://www.chsi.com.cn</w:t>
      </w: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上进行学籍（应届生）或学历（往届生）查询认证；在教育部学位网</w:t>
      </w:r>
      <w:r>
        <w:rPr>
          <w:rFonts w:hint="default" w:ascii="Times New Roman" w:hAnsi="Times New Roman" w:cs="Times New Roman" w:eastAsiaTheme="minorEastAsia"/>
          <w:i w:val="0"/>
          <w:caps w:val="0"/>
          <w:color w:val="333333"/>
          <w:spacing w:val="0"/>
          <w:kern w:val="0"/>
          <w:sz w:val="28"/>
          <w:szCs w:val="28"/>
          <w:bdr w:val="none" w:color="auto" w:sz="0" w:space="0"/>
          <w:shd w:val="clear" w:fill="FFFFFF"/>
          <w:lang w:val="en-US" w:eastAsia="zh-CN" w:bidi="ar"/>
        </w:rPr>
        <w:t>http://www.chinadegrees.cn</w:t>
      </w: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上进行学位查询认证）；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both"/>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④硕士阶段的课程学习成绩单（须授课单位或档案保存单位盖章）；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both"/>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⑤外语水平成绩证明复印件；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both"/>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⑥应届生须提供学位论文初稿（或硕士学位论文开题报告，或研究工作进展情况）；往届生须提供硕士学位论文；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both"/>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⑦具有代表性的研究成果；（公开发表的学术论文复印件或其它主要研究成果的证明材料）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both"/>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⑧攻读博士学位期间拟进行的科学研究设想（科研规划）；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both"/>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⑨有至少两名所报考学科专业领域内的教授(或相当专业技术职称的专家)的书面推荐意见。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both"/>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其中，①--⑧项由申请者按顺序添加目录并装订成册，第⑨项由推荐人亲笔书写密封，上述材料还须将电子版（或扫描件）发送至以下指定电子邮箱。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both"/>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博士申请材料必须确保真实、准确，一旦发现作假，将取消申请者的录取资格、入学资格和申请学位资格。申请材料一经提交，均不退还。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both"/>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邮寄地址：贵州省贵阳市花溪区贵州大学西校区资源与环境工程学院；收件单位：贵州大学资源与环境工程学院研究生科；信封上标注</w:t>
      </w:r>
      <w:r>
        <w:rPr>
          <w:rFonts w:hint="default" w:ascii="仿宋_gb2312" w:hAnsi="仿宋_gb2312" w:eastAsia="仿宋_gb2312" w:cs="仿宋_gb2312"/>
          <w:i w:val="0"/>
          <w:caps w:val="0"/>
          <w:color w:val="333333"/>
          <w:spacing w:val="0"/>
          <w:kern w:val="0"/>
          <w:sz w:val="28"/>
          <w:szCs w:val="28"/>
          <w:bdr w:val="none" w:color="auto" w:sz="0" w:space="0"/>
          <w:shd w:val="clear" w:fill="FFFFFF"/>
          <w:lang w:val="en-US" w:eastAsia="zh-CN" w:bidi="ar"/>
        </w:rPr>
        <w:t>“</w:t>
      </w: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报考地质学专业博士</w:t>
      </w:r>
      <w:r>
        <w:rPr>
          <w:rFonts w:hint="default" w:ascii="仿宋_gb2312" w:hAnsi="仿宋_gb2312" w:eastAsia="仿宋_gb2312" w:cs="仿宋_gb2312"/>
          <w:i w:val="0"/>
          <w:caps w:val="0"/>
          <w:color w:val="333333"/>
          <w:spacing w:val="0"/>
          <w:kern w:val="0"/>
          <w:sz w:val="28"/>
          <w:szCs w:val="28"/>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both"/>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电子邮箱：15885741762@163.com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both"/>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邮编：550025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both"/>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联系电话：</w:t>
      </w:r>
      <w:r>
        <w:rPr>
          <w:rFonts w:hint="default" w:ascii="仿宋_gb2312" w:hAnsi="仿宋_gb2312" w:eastAsia="仿宋_gb2312" w:cs="仿宋_gb2312"/>
          <w:i w:val="0"/>
          <w:caps w:val="0"/>
          <w:color w:val="333333"/>
          <w:spacing w:val="0"/>
          <w:kern w:val="0"/>
          <w:sz w:val="28"/>
          <w:szCs w:val="28"/>
          <w:bdr w:val="none" w:color="auto" w:sz="0" w:space="0"/>
          <w:shd w:val="clear" w:fill="FFFFFF"/>
          <w:lang w:val="en-US" w:eastAsia="zh-CN" w:bidi="ar"/>
        </w:rPr>
        <w:t>0851-83627875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0"/>
        <w:jc w:val="both"/>
        <w:rPr>
          <w:rFonts w:hint="default" w:ascii="Arial" w:hAnsi="Arial" w:cs="Arial"/>
          <w:i w:val="0"/>
          <w:caps w:val="0"/>
          <w:color w:val="333333"/>
          <w:spacing w:val="0"/>
          <w:sz w:val="21"/>
          <w:szCs w:val="21"/>
        </w:rPr>
      </w:pPr>
      <w:r>
        <w:rPr>
          <w:rFonts w:hint="default" w:ascii="仿宋" w:hAnsi="仿宋" w:eastAsia="仿宋" w:cs="仿宋"/>
          <w:b/>
          <w:i w:val="0"/>
          <w:caps w:val="0"/>
          <w:color w:val="333333"/>
          <w:spacing w:val="0"/>
          <w:kern w:val="0"/>
          <w:sz w:val="28"/>
          <w:szCs w:val="28"/>
          <w:bdr w:val="none" w:color="auto" w:sz="0" w:space="0"/>
          <w:shd w:val="clear" w:fill="FFFFFF"/>
          <w:lang w:val="en-US" w:eastAsia="zh-CN" w:bidi="ar"/>
        </w:rPr>
        <w:t>六、</w:t>
      </w:r>
      <w:r>
        <w:rPr>
          <w:rStyle w:val="4"/>
          <w:rFonts w:hint="default" w:ascii="仿宋" w:hAnsi="仿宋" w:eastAsia="仿宋" w:cs="仿宋"/>
          <w:b/>
          <w:i w:val="0"/>
          <w:caps w:val="0"/>
          <w:color w:val="333333"/>
          <w:spacing w:val="0"/>
          <w:kern w:val="0"/>
          <w:sz w:val="28"/>
          <w:szCs w:val="28"/>
          <w:bdr w:val="none" w:color="auto" w:sz="0" w:space="0"/>
          <w:shd w:val="clear" w:fill="FFFFFF"/>
          <w:lang w:val="en-US" w:eastAsia="zh-CN" w:bidi="ar"/>
        </w:rPr>
        <w:t>材料审核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both"/>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1.指导小组组织专家审阅材料，研究生科工作人员参与审核，审查考生提交材料是否齐全，审核考生是否符合报考条件。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both"/>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2.学院考核专家组对考生的申请材料进行评议，给出百分制成绩。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0"/>
        <w:jc w:val="both"/>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综合申请者的学习成绩、参与各类研究实践情况、发表学术论文、科研获奖以及政审材料等，其中考生的学习成绩（30%）、参与各类研究实践情况（20%）、硕士论文、发表文章（40%）以及获奖（10%）。给出百分制成绩（成绩在60分以下取消其申请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both"/>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3.学院将根据材料审核情况、招生计划、报考情况等，采取差额考核的形式（原则上差额比例</w:t>
      </w:r>
      <w:r>
        <w:rPr>
          <w:rFonts w:hint="default" w:ascii="Times New Roman" w:hAnsi="Times New Roman" w:cs="Times New Roman" w:eastAsiaTheme="minorEastAsia"/>
          <w:i w:val="0"/>
          <w:caps w:val="0"/>
          <w:color w:val="333333"/>
          <w:spacing w:val="0"/>
          <w:kern w:val="0"/>
          <w:sz w:val="28"/>
          <w:szCs w:val="28"/>
          <w:bdr w:val="none" w:color="auto" w:sz="0" w:space="0"/>
          <w:shd w:val="clear" w:fill="FFFFFF"/>
          <w:lang w:val="en-US" w:eastAsia="zh-CN" w:bidi="ar"/>
        </w:rPr>
        <w:t>1:</w:t>
      </w: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 </w:t>
      </w:r>
      <w:r>
        <w:rPr>
          <w:rFonts w:hint="default" w:ascii="Times New Roman" w:hAnsi="Times New Roman" w:eastAsia="仿宋" w:cs="Times New Roman"/>
          <w:i w:val="0"/>
          <w:caps w:val="0"/>
          <w:color w:val="333333"/>
          <w:spacing w:val="0"/>
          <w:kern w:val="0"/>
          <w:sz w:val="28"/>
          <w:szCs w:val="28"/>
          <w:bdr w:val="none" w:color="auto" w:sz="0" w:space="0"/>
          <w:shd w:val="clear" w:fill="FFFFFF"/>
          <w:lang w:val="en-US" w:eastAsia="zh-CN" w:bidi="ar"/>
        </w:rPr>
        <w:t>2</w:t>
      </w: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），择优确定通过初审的考生名单，并在学院网站上公示。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0"/>
        <w:jc w:val="both"/>
        <w:rPr>
          <w:rFonts w:hint="default" w:ascii="Arial" w:hAnsi="Arial" w:cs="Arial"/>
          <w:i w:val="0"/>
          <w:caps w:val="0"/>
          <w:color w:val="333333"/>
          <w:spacing w:val="0"/>
          <w:sz w:val="21"/>
          <w:szCs w:val="21"/>
        </w:rPr>
      </w:pPr>
      <w:r>
        <w:rPr>
          <w:rStyle w:val="4"/>
          <w:rFonts w:hint="default" w:ascii="仿宋" w:hAnsi="仿宋" w:eastAsia="仿宋" w:cs="仿宋"/>
          <w:b/>
          <w:i w:val="0"/>
          <w:caps w:val="0"/>
          <w:color w:val="333333"/>
          <w:spacing w:val="0"/>
          <w:kern w:val="0"/>
          <w:sz w:val="28"/>
          <w:szCs w:val="28"/>
          <w:bdr w:val="none" w:color="auto" w:sz="0" w:space="0"/>
          <w:shd w:val="clear" w:fill="FFFFFF"/>
          <w:lang w:val="en-US" w:eastAsia="zh-CN" w:bidi="ar"/>
        </w:rPr>
        <w:t>七、综合考核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both"/>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1.考核时间及地点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left"/>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考核时间：按照学校的相关规定执行，请考生持续关注资源与环境工程学院网站（</w:t>
      </w:r>
      <w:r>
        <w:rPr>
          <w:rFonts w:hint="default" w:ascii="Times New Roman" w:hAnsi="Times New Roman" w:cs="Times New Roman" w:eastAsiaTheme="minorEastAsia"/>
          <w:i w:val="0"/>
          <w:caps w:val="0"/>
          <w:color w:val="333333"/>
          <w:spacing w:val="0"/>
          <w:kern w:val="0"/>
          <w:sz w:val="28"/>
          <w:szCs w:val="28"/>
          <w:bdr w:val="none" w:color="auto" w:sz="0" w:space="0"/>
          <w:shd w:val="clear" w:fill="FFFFFF"/>
          <w:lang w:val="en-US" w:eastAsia="zh-CN" w:bidi="ar"/>
        </w:rPr>
        <w:t>http://re.gzu.edu.cn/</w:t>
      </w: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），考核时间及地点另行通知。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left"/>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2.考核内容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both"/>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地质学博士点组成有报考导师参加的</w:t>
      </w:r>
      <w:r>
        <w:rPr>
          <w:rFonts w:hint="default" w:ascii="仿宋_gb2312" w:hAnsi="仿宋_gb2312" w:eastAsia="仿宋_gb2312" w:cs="仿宋_gb2312"/>
          <w:i w:val="0"/>
          <w:caps w:val="0"/>
          <w:color w:val="333333"/>
          <w:spacing w:val="0"/>
          <w:kern w:val="0"/>
          <w:sz w:val="28"/>
          <w:szCs w:val="28"/>
          <w:bdr w:val="none" w:color="auto" w:sz="0" w:space="0"/>
          <w:shd w:val="clear" w:fill="FFFFFF"/>
          <w:lang w:val="en-US" w:eastAsia="zh-CN" w:bidi="ar"/>
        </w:rPr>
        <w:t>“综合考核专家组”，“综合考核专家组”由不少于5</w:t>
      </w: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名教授（其中至少</w:t>
      </w:r>
      <w:r>
        <w:rPr>
          <w:rFonts w:hint="default" w:ascii="仿宋_gb2312" w:hAnsi="仿宋_gb2312" w:eastAsia="仿宋_gb2312" w:cs="仿宋_gb2312"/>
          <w:i w:val="0"/>
          <w:caps w:val="0"/>
          <w:color w:val="333333"/>
          <w:spacing w:val="0"/>
          <w:kern w:val="0"/>
          <w:sz w:val="28"/>
          <w:szCs w:val="28"/>
          <w:bdr w:val="none" w:color="auto" w:sz="0" w:space="0"/>
          <w:shd w:val="clear" w:fill="FFFFFF"/>
          <w:lang w:val="en-US" w:eastAsia="zh-CN" w:bidi="ar"/>
        </w:rPr>
        <w:t>3</w:t>
      </w: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名博士生导师）组成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left"/>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综合考核的内容包括：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left"/>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（1）材料评议（占综合考核总成绩15%）：指导小组根据考生提交的所有申请材料进行评分。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left"/>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（2）专业考核（占综合考核总成绩15%）：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left"/>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考试科目名称：《地质学综合》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both"/>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3）综合面试（占综合考核总成绩70%）：主要对考生的科研潜质、创新能力、外国语应用能力、综合素质、实践能力等方面进行考查。考生围绕硕士阶段的工作和博士阶段的研究计划作15分钟介绍（采用PPT）。考核专家对考生的综合素质进行全面考察，实行无记名打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left"/>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综合考核各组成部分均按照百分制给出，综合考核成绩=材料评议</w:t>
      </w:r>
      <w:r>
        <w:rPr>
          <w:rFonts w:ascii="Arial" w:hAnsi="Arial" w:cs="Arial" w:eastAsiaTheme="minorEastAsia"/>
          <w:i w:val="0"/>
          <w:caps w:val="0"/>
          <w:color w:val="333333"/>
          <w:spacing w:val="0"/>
          <w:kern w:val="0"/>
          <w:sz w:val="28"/>
          <w:szCs w:val="28"/>
          <w:bdr w:val="none" w:color="auto" w:sz="0" w:space="0"/>
          <w:shd w:val="clear" w:fill="FFFFFF"/>
          <w:lang w:val="en-US" w:eastAsia="zh-CN" w:bidi="ar"/>
        </w:rPr>
        <w:t>×</w:t>
      </w: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（15%）+专业考核</w:t>
      </w:r>
      <w:r>
        <w:rPr>
          <w:rFonts w:hint="default" w:ascii="Arial" w:hAnsi="Arial" w:cs="Arial" w:eastAsiaTheme="minorEastAsia"/>
          <w:i w:val="0"/>
          <w:caps w:val="0"/>
          <w:color w:val="333333"/>
          <w:spacing w:val="0"/>
          <w:kern w:val="0"/>
          <w:sz w:val="28"/>
          <w:szCs w:val="28"/>
          <w:bdr w:val="none" w:color="auto" w:sz="0" w:space="0"/>
          <w:shd w:val="clear" w:fill="FFFFFF"/>
          <w:lang w:val="en-US" w:eastAsia="zh-CN" w:bidi="ar"/>
        </w:rPr>
        <w:t>×</w:t>
      </w: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（15%）+综合面试</w:t>
      </w:r>
      <w:r>
        <w:rPr>
          <w:rFonts w:hint="default" w:ascii="Arial" w:hAnsi="Arial" w:cs="Arial" w:eastAsiaTheme="minorEastAsia"/>
          <w:i w:val="0"/>
          <w:caps w:val="0"/>
          <w:color w:val="333333"/>
          <w:spacing w:val="0"/>
          <w:kern w:val="0"/>
          <w:sz w:val="28"/>
          <w:szCs w:val="28"/>
          <w:bdr w:val="none" w:color="auto" w:sz="0" w:space="0"/>
          <w:shd w:val="clear" w:fill="FFFFFF"/>
          <w:lang w:val="en-US" w:eastAsia="zh-CN" w:bidi="ar"/>
        </w:rPr>
        <w:t>×</w:t>
      </w: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（70%），综合考核成绩于考核结束后3日内在本学院网站上公示。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left"/>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学院将根据综合考核成绩排名，结合当年招生名额、拟报考导师的意见等，确定并上报拟录取名单。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left"/>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综合考核全程录音录像，学院将留存三年备查。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0"/>
        <w:jc w:val="left"/>
        <w:rPr>
          <w:rFonts w:hint="default" w:ascii="Arial" w:hAnsi="Arial" w:cs="Arial"/>
          <w:i w:val="0"/>
          <w:caps w:val="0"/>
          <w:color w:val="333333"/>
          <w:spacing w:val="0"/>
          <w:sz w:val="21"/>
          <w:szCs w:val="21"/>
        </w:rPr>
      </w:pPr>
      <w:r>
        <w:rPr>
          <w:rStyle w:val="4"/>
          <w:rFonts w:hint="default" w:ascii="仿宋" w:hAnsi="仿宋" w:eastAsia="仿宋" w:cs="仿宋"/>
          <w:b/>
          <w:i w:val="0"/>
          <w:caps w:val="0"/>
          <w:color w:val="333333"/>
          <w:spacing w:val="0"/>
          <w:kern w:val="0"/>
          <w:sz w:val="28"/>
          <w:szCs w:val="28"/>
          <w:bdr w:val="none" w:color="auto" w:sz="0" w:space="0"/>
          <w:shd w:val="clear" w:fill="FFFFFF"/>
          <w:lang w:val="en-US" w:eastAsia="zh-CN" w:bidi="ar"/>
        </w:rPr>
        <w:t>八、录取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left"/>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1.综合考核成绩低于60分者不予录取。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left"/>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2.考生报考的导师当年要有招生资格并且有招生指标，在此基础上，按考核总成绩高低顺序进行导师与学生互选，最终确定拟录取名单。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left"/>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①上线人数超过导师可招生指标，按考生综合考核成绩高低次序询问导师意愿，由导师确定录取人选；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left"/>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②上线人数少于导师招生指标，按考生综合考核成绩高低次序进行师生互选，由双方确定录取结果；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left"/>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③报考导师招生指标已录满，考生可以申请调剂其他导师；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left"/>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④拟录取名单中如有考生放弃，导师可按综合考核成绩高低依次候补互选。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0"/>
        <w:jc w:val="left"/>
        <w:rPr>
          <w:rFonts w:hint="default" w:ascii="Arial" w:hAnsi="Arial" w:cs="Arial"/>
          <w:i w:val="0"/>
          <w:caps w:val="0"/>
          <w:color w:val="333333"/>
          <w:spacing w:val="0"/>
          <w:sz w:val="21"/>
          <w:szCs w:val="21"/>
        </w:rPr>
      </w:pPr>
      <w:r>
        <w:rPr>
          <w:rStyle w:val="4"/>
          <w:rFonts w:hint="default" w:ascii="仿宋" w:hAnsi="仿宋" w:eastAsia="仿宋" w:cs="仿宋"/>
          <w:b/>
          <w:i w:val="0"/>
          <w:caps w:val="0"/>
          <w:color w:val="333333"/>
          <w:spacing w:val="0"/>
          <w:kern w:val="0"/>
          <w:sz w:val="28"/>
          <w:szCs w:val="28"/>
          <w:bdr w:val="none" w:color="auto" w:sz="0" w:space="0"/>
          <w:shd w:val="clear" w:fill="FFFFFF"/>
          <w:lang w:val="en-US" w:eastAsia="zh-CN" w:bidi="ar"/>
        </w:rPr>
        <w:t>九、体检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both"/>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考生在拟录取后进行体检，体检时间及地点另行通知。体检标准参照教育部、卫生部、中国残联制定的《普通高等学校招生体检工作指导意见》（教学〔2003〕3号），未达到体检要求的，取消录取资格。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0"/>
        <w:jc w:val="left"/>
        <w:rPr>
          <w:rFonts w:hint="default" w:ascii="Arial" w:hAnsi="Arial" w:cs="Arial"/>
          <w:i w:val="0"/>
          <w:caps w:val="0"/>
          <w:color w:val="333333"/>
          <w:spacing w:val="0"/>
          <w:sz w:val="21"/>
          <w:szCs w:val="21"/>
        </w:rPr>
      </w:pPr>
      <w:r>
        <w:rPr>
          <w:rStyle w:val="4"/>
          <w:rFonts w:hint="default" w:ascii="仿宋" w:hAnsi="仿宋" w:eastAsia="仿宋" w:cs="仿宋"/>
          <w:b/>
          <w:i w:val="0"/>
          <w:caps w:val="0"/>
          <w:color w:val="333333"/>
          <w:spacing w:val="0"/>
          <w:kern w:val="0"/>
          <w:sz w:val="28"/>
          <w:szCs w:val="28"/>
          <w:bdr w:val="none" w:color="auto" w:sz="0" w:space="0"/>
          <w:shd w:val="clear" w:fill="FFFFFF"/>
          <w:lang w:val="en-US" w:eastAsia="zh-CN" w:bidi="ar"/>
        </w:rPr>
        <w:t>十、拟录取名单审核与公示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555"/>
        <w:jc w:val="left"/>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学校研究生招生工作领导小组对各单位拟录取名单进行审核，审核通过后，学校在贵州大学研究生院在网站上（</w:t>
      </w:r>
      <w:r>
        <w:rPr>
          <w:rFonts w:hint="default" w:ascii="Times New Roman" w:hAnsi="Times New Roman" w:cs="Times New Roman" w:eastAsiaTheme="minorEastAsia"/>
          <w:i w:val="0"/>
          <w:caps w:val="0"/>
          <w:color w:val="333333"/>
          <w:spacing w:val="0"/>
          <w:kern w:val="0"/>
          <w:sz w:val="28"/>
          <w:szCs w:val="28"/>
          <w:bdr w:val="none" w:color="auto" w:sz="0" w:space="0"/>
          <w:shd w:val="clear" w:fill="FFFFFF"/>
          <w:lang w:val="en-US" w:eastAsia="zh-CN" w:bidi="ar"/>
        </w:rPr>
        <w:t>http://gs.gzu.edu.cn/</w:t>
      </w:r>
      <w:r>
        <w:rPr>
          <w:rFonts w:hint="default" w:ascii="仿宋" w:hAnsi="仿宋" w:eastAsia="仿宋" w:cs="仿宋"/>
          <w:i w:val="0"/>
          <w:caps w:val="0"/>
          <w:color w:val="333333"/>
          <w:spacing w:val="0"/>
          <w:kern w:val="0"/>
          <w:sz w:val="28"/>
          <w:szCs w:val="28"/>
          <w:bdr w:val="none" w:color="auto" w:sz="0" w:space="0"/>
          <w:shd w:val="clear" w:fill="FFFFFF"/>
          <w:lang w:val="en-US" w:eastAsia="zh-CN" w:bidi="ar"/>
        </w:rPr>
        <w:t>）公示“申请-考核”制博士研究生拟录取名单，公示期为10个工作日。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default" w:ascii="Arial" w:hAnsi="Arial" w:cs="Arial"/>
          <w:i w:val="0"/>
          <w:caps w:val="0"/>
          <w:color w:val="333333"/>
          <w:spacing w:val="0"/>
          <w:sz w:val="21"/>
          <w:szCs w:val="21"/>
        </w:rPr>
      </w:pPr>
      <w:r>
        <w:rPr>
          <w:rFonts w:hint="default" w:ascii="仿宋" w:hAnsi="仿宋" w:eastAsia="仿宋" w:cs="仿宋"/>
          <w:i w:val="0"/>
          <w:caps w:val="0"/>
          <w:color w:val="333333"/>
          <w:spacing w:val="0"/>
          <w:kern w:val="0"/>
          <w:sz w:val="24"/>
          <w:szCs w:val="24"/>
          <w:bdr w:val="none" w:color="auto" w:sz="0" w:space="0"/>
          <w:shd w:val="clear" w:fill="FFFFFF"/>
          <w:lang w:val="en-US" w:eastAsia="zh-CN" w:bidi="ar"/>
        </w:rPr>
        <w:t> 附件：</w:t>
      </w:r>
      <w:r>
        <w:rPr>
          <w:rFonts w:hint="default" w:ascii="仿宋" w:hAnsi="仿宋" w:eastAsia="仿宋" w:cs="仿宋"/>
          <w:i w:val="0"/>
          <w:caps w:val="0"/>
          <w:color w:val="333333"/>
          <w:spacing w:val="0"/>
          <w:kern w:val="0"/>
          <w:sz w:val="24"/>
          <w:szCs w:val="24"/>
          <w:bdr w:val="none" w:color="auto" w:sz="0" w:space="0"/>
          <w:shd w:val="clear" w:fill="FFFFFF"/>
          <w:lang w:val="en-US" w:eastAsia="zh-CN" w:bidi="ar"/>
        </w:rPr>
        <w:fldChar w:fldCharType="begin"/>
      </w:r>
      <w:r>
        <w:rPr>
          <w:rFonts w:hint="default" w:ascii="仿宋" w:hAnsi="仿宋" w:eastAsia="仿宋" w:cs="仿宋"/>
          <w:i w:val="0"/>
          <w:caps w:val="0"/>
          <w:color w:val="333333"/>
          <w:spacing w:val="0"/>
          <w:kern w:val="0"/>
          <w:sz w:val="24"/>
          <w:szCs w:val="24"/>
          <w:bdr w:val="none" w:color="auto" w:sz="0" w:space="0"/>
          <w:shd w:val="clear" w:fill="FFFFFF"/>
          <w:lang w:val="en-US" w:eastAsia="zh-CN" w:bidi="ar"/>
        </w:rPr>
        <w:instrText xml:space="preserve">INCLUDEPICTURE \d "http://re.gzu.edu.cn/_ueditor/themes/default/images/icon_doc.gif" \* MERGEFORMATINET </w:instrText>
      </w:r>
      <w:r>
        <w:rPr>
          <w:rFonts w:hint="default" w:ascii="仿宋" w:hAnsi="仿宋" w:eastAsia="仿宋" w:cs="仿宋"/>
          <w:i w:val="0"/>
          <w:caps w:val="0"/>
          <w:color w:val="333333"/>
          <w:spacing w:val="0"/>
          <w:kern w:val="0"/>
          <w:sz w:val="24"/>
          <w:szCs w:val="24"/>
          <w:bdr w:val="none" w:color="auto" w:sz="0" w:space="0"/>
          <w:shd w:val="clear" w:fill="FFFFFF"/>
          <w:lang w:val="en-US" w:eastAsia="zh-CN" w:bidi="ar"/>
        </w:rPr>
        <w:fldChar w:fldCharType="separate"/>
      </w:r>
      <w:r>
        <w:rPr>
          <w:rFonts w:hint="default" w:ascii="仿宋" w:hAnsi="仿宋" w:eastAsia="仿宋" w:cs="仿宋"/>
          <w:i w:val="0"/>
          <w:caps w:val="0"/>
          <w:color w:val="333333"/>
          <w:spacing w:val="0"/>
          <w:kern w:val="0"/>
          <w:sz w:val="24"/>
          <w:szCs w:val="24"/>
          <w:bdr w:val="none" w:color="auto" w:sz="0" w:space="0"/>
          <w:shd w:val="clear" w:fill="FFFFFF"/>
          <w:lang w:val="en-US" w:eastAsia="zh-CN" w:bidi="ar"/>
        </w:rPr>
        <w:drawing>
          <wp:inline distT="0" distB="0" distL="114300" distR="114300">
            <wp:extent cx="152400" cy="152400"/>
            <wp:effectExtent l="0" t="0" r="0"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4" r:link="rId5"/>
                    <a:stretch>
                      <a:fillRect/>
                    </a:stretch>
                  </pic:blipFill>
                  <pic:spPr>
                    <a:xfrm>
                      <a:off x="0" y="0"/>
                      <a:ext cx="152400" cy="152400"/>
                    </a:xfrm>
                    <a:prstGeom prst="rect">
                      <a:avLst/>
                    </a:prstGeom>
                    <a:noFill/>
                    <a:ln w="9525">
                      <a:noFill/>
                      <a:miter/>
                    </a:ln>
                  </pic:spPr>
                </pic:pic>
              </a:graphicData>
            </a:graphic>
          </wp:inline>
        </w:drawing>
      </w:r>
      <w:r>
        <w:rPr>
          <w:rFonts w:hint="default" w:ascii="仿宋" w:hAnsi="仿宋" w:eastAsia="仿宋" w:cs="仿宋"/>
          <w:i w:val="0"/>
          <w:caps w:val="0"/>
          <w:color w:val="333333"/>
          <w:spacing w:val="0"/>
          <w:kern w:val="0"/>
          <w:sz w:val="24"/>
          <w:szCs w:val="24"/>
          <w:bdr w:val="none" w:color="auto" w:sz="0" w:space="0"/>
          <w:shd w:val="clear" w:fill="FFFFFF"/>
          <w:lang w:val="en-US" w:eastAsia="zh-CN" w:bidi="ar"/>
        </w:rPr>
        <w:fldChar w:fldCharType="end"/>
      </w:r>
      <w:r>
        <w:rPr>
          <w:rFonts w:hint="default" w:ascii="仿宋" w:hAnsi="仿宋" w:eastAsia="仿宋" w:cs="仿宋"/>
          <w:i w:val="0"/>
          <w:caps w:val="0"/>
          <w:color w:val="3B3B3B"/>
          <w:spacing w:val="0"/>
          <w:kern w:val="0"/>
          <w:sz w:val="24"/>
          <w:szCs w:val="24"/>
          <w:u w:val="none"/>
          <w:bdr w:val="none" w:color="auto" w:sz="0" w:space="0"/>
          <w:shd w:val="clear" w:fill="FFFFFF"/>
          <w:lang w:val="en-US" w:eastAsia="zh-CN" w:bidi="ar"/>
        </w:rPr>
        <w:fldChar w:fldCharType="begin"/>
      </w:r>
      <w:r>
        <w:rPr>
          <w:rFonts w:hint="default" w:ascii="仿宋" w:hAnsi="仿宋" w:eastAsia="仿宋" w:cs="仿宋"/>
          <w:i w:val="0"/>
          <w:caps w:val="0"/>
          <w:color w:val="3B3B3B"/>
          <w:spacing w:val="0"/>
          <w:kern w:val="0"/>
          <w:sz w:val="24"/>
          <w:szCs w:val="24"/>
          <w:u w:val="none"/>
          <w:bdr w:val="none" w:color="auto" w:sz="0" w:space="0"/>
          <w:shd w:val="clear" w:fill="FFFFFF"/>
          <w:lang w:val="en-US" w:eastAsia="zh-CN" w:bidi="ar"/>
        </w:rPr>
        <w:instrText xml:space="preserve"> HYPERLINK "http://re.gzu.edu.cn/_upload/article/files/12/45/80ea634344c6a2c0208373d38d6e/2f716204-b1aa-47db-a148-c32dc03b6db4.doc" </w:instrText>
      </w:r>
      <w:r>
        <w:rPr>
          <w:rFonts w:hint="default" w:ascii="仿宋" w:hAnsi="仿宋" w:eastAsia="仿宋" w:cs="仿宋"/>
          <w:i w:val="0"/>
          <w:caps w:val="0"/>
          <w:color w:val="3B3B3B"/>
          <w:spacing w:val="0"/>
          <w:kern w:val="0"/>
          <w:sz w:val="24"/>
          <w:szCs w:val="24"/>
          <w:u w:val="none"/>
          <w:bdr w:val="none" w:color="auto" w:sz="0" w:space="0"/>
          <w:shd w:val="clear" w:fill="FFFFFF"/>
          <w:lang w:val="en-US" w:eastAsia="zh-CN" w:bidi="ar"/>
        </w:rPr>
        <w:fldChar w:fldCharType="separate"/>
      </w:r>
      <w:r>
        <w:rPr>
          <w:rStyle w:val="5"/>
          <w:rFonts w:hint="default" w:ascii="仿宋" w:hAnsi="仿宋" w:eastAsia="仿宋" w:cs="仿宋"/>
          <w:i w:val="0"/>
          <w:caps w:val="0"/>
          <w:color w:val="3B3B3B"/>
          <w:spacing w:val="0"/>
          <w:sz w:val="24"/>
          <w:szCs w:val="24"/>
          <w:u w:val="none"/>
          <w:bdr w:val="none" w:color="auto" w:sz="0" w:space="0"/>
          <w:shd w:val="clear" w:fill="FFFFFF"/>
        </w:rPr>
        <w:t>专家推荐意见书.doc</w:t>
      </w:r>
      <w:r>
        <w:rPr>
          <w:rFonts w:hint="default" w:ascii="仿宋" w:hAnsi="仿宋" w:eastAsia="仿宋" w:cs="仿宋"/>
          <w:i w:val="0"/>
          <w:caps w:val="0"/>
          <w:color w:val="3B3B3B"/>
          <w:spacing w:val="0"/>
          <w:kern w:val="0"/>
          <w:sz w:val="24"/>
          <w:szCs w:val="24"/>
          <w:u w:val="none"/>
          <w:bdr w:val="none" w:color="auto" w:sz="0" w:space="0"/>
          <w:shd w:val="clear" w:fill="FFFFFF"/>
          <w:lang w:val="en-US" w:eastAsia="zh-CN" w:bidi="ar"/>
        </w:rPr>
        <w:fldChar w:fldCharType="end"/>
      </w:r>
    </w:p>
    <w:p>
      <w:pPr>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仿宋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寰�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 w:name="黑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195FC2"/>
    <w:rsid w:val="0F3448A8"/>
    <w:rsid w:val="69195FC2"/>
    <w:rsid w:val="75ED4AF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http://re.gzu.edu.cn/_ueditor/themes/default/images/icon_doc.gif" TargetMode="Externa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2022-04-15T02:39:00Z</dcterms:created>
  <dc:creator>HHsxk</dc:creator>
  <cp:lastModifiedBy>HHsxk</cp:lastModifiedBy>
  <dcterms:modified xsi:type="dcterms:W3CDTF">2022-04-15T07:05:23Z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