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3003" w:type="dxa"/>
        <w:jc w:val="center"/>
        <w:tblCellSpacing w:w="0" w:type="dxa"/>
        <w:tblInd w:w="-2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99"/>
        <w:gridCol w:w="1301"/>
        <w:gridCol w:w="1076"/>
        <w:gridCol w:w="1077"/>
        <w:gridCol w:w="1078"/>
        <w:gridCol w:w="1077"/>
        <w:gridCol w:w="975"/>
        <w:gridCol w:w="1200"/>
        <w:gridCol w:w="1125"/>
        <w:gridCol w:w="10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799"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7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78"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59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799"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8"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ascii="Arial" w:hAnsi="Arial" w:cs="Arial"/>
                <w:color w:val="000000"/>
                <w:sz w:val="19"/>
                <w:szCs w:val="19"/>
                <w:bdr w:val="none" w:color="auto" w:sz="0" w:space="0"/>
                <w:lang w:val="en-US"/>
              </w:rPr>
              <w:t>100052220000868</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ascii="等线" w:hAnsi="等线" w:eastAsia="等线" w:cs="等线"/>
                <w:color w:val="000000"/>
                <w:sz w:val="19"/>
                <w:szCs w:val="19"/>
                <w:bdr w:val="none" w:color="auto" w:sz="0" w:space="0"/>
              </w:rPr>
              <w:t>国臣</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100052220000869</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政</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100052220000873</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欣</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100052220000871</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国川</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78</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100052220000870</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静远</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100052220000872</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尉</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100052230000930</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泰</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bl>
    <w:p>
      <w:pPr>
        <w:pStyle w:val="3"/>
        <w:keepNext w:val="0"/>
        <w:keepLines w:val="0"/>
        <w:widowControl/>
        <w:suppressLineNumbers w:val="0"/>
        <w:shd w:val="clear" w:fill="F9F7FD"/>
        <w:spacing w:line="260" w:lineRule="atLeast"/>
        <w:ind w:left="0" w:firstLine="0"/>
        <w:jc w:val="left"/>
        <w:rPr>
          <w:rFonts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100052210000747</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帅</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100052210000751</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荣霞</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100052210000745</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茜</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100052210000754</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书缘</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100052210000756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婉云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100052210000743</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维</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100052210000744</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顺</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100052210000758</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堃</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17</w:t>
      </w:r>
      <w:r>
        <w:rPr>
          <w:rFonts w:hint="default" w:ascii="仿宋_gb2312" w:hAnsi="仿宋_gb2312" w:eastAsia="仿宋_gb2312" w:cs="仿宋_gb2312"/>
          <w:i w:val="0"/>
          <w:caps w:val="0"/>
          <w:color w:val="000000"/>
          <w:spacing w:val="0"/>
          <w:sz w:val="30"/>
          <w:szCs w:val="30"/>
          <w:shd w:val="clear" w:fill="F9F7FD"/>
        </w:rPr>
        <w:t>日至</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30</w:t>
      </w:r>
      <w:r>
        <w:rPr>
          <w:rFonts w:hint="default" w:ascii="仿宋_gb2312" w:hAnsi="仿宋_gb2312" w:eastAsia="仿宋_gb2312" w:cs="仿宋_gb2312"/>
          <w:i w:val="0"/>
          <w:caps w:val="0"/>
          <w:color w:val="000000"/>
          <w:spacing w:val="0"/>
          <w:sz w:val="30"/>
          <w:szCs w:val="30"/>
          <w:shd w:val="clear" w:fill="F9F7FD"/>
        </w:rPr>
        <w:t>日。我校最终录取名单以教育部研究生招生信息网平台公示及录取通知书的发放为准。凡发现考生有任何不符合报考条件或录取要求的情况，我校有权随时取消考生的拟录取资格。</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2022-05-19T06:32:45Z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