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8F8" w:rsidRDefault="000348F8" w:rsidP="000348F8">
      <w:pPr>
        <w:pStyle w:val="3"/>
        <w:jc w:val="center"/>
      </w:pPr>
      <w:r>
        <w:t>曲阜师范大学</w:t>
      </w:r>
      <w:r>
        <w:t>2023</w:t>
      </w:r>
      <w:r>
        <w:t>年</w:t>
      </w:r>
      <w:r>
        <w:t>“</w:t>
      </w:r>
      <w:r>
        <w:t>直博生</w:t>
      </w:r>
      <w:r>
        <w:t>”</w:t>
      </w:r>
      <w:r>
        <w:t>招生工作实施方案</w:t>
      </w:r>
      <w:bookmarkStart w:id="0" w:name="_GoBack"/>
      <w:bookmarkEnd w:id="0"/>
    </w:p>
    <w:p w:rsidR="000348F8" w:rsidRDefault="000348F8" w:rsidP="000348F8">
      <w:pPr>
        <w:pStyle w:val="a3"/>
        <w:spacing w:after="0" w:afterAutospacing="0" w:line="480" w:lineRule="atLeast"/>
        <w:ind w:firstLine="630"/>
      </w:pPr>
      <w:r>
        <w:rPr>
          <w:rFonts w:ascii="仿宋" w:eastAsia="仿宋" w:hAnsi="仿宋" w:hint="eastAsia"/>
          <w:color w:val="000000"/>
          <w:sz w:val="30"/>
          <w:szCs w:val="30"/>
        </w:rPr>
        <w:t>为进一步探索和完善博士选拔机制，根据教育部有关文件精神，结合我校实际情况，学校决定招收具有推荐免试资格的优秀应届本科毕业生直接攻读博士学位研究生（简称“直博生”）。为明确工作要求、规范操作程序、提高选拔质量，现将我校2023年“直博生”招生工作实施方案公布如下：</w:t>
      </w:r>
    </w:p>
    <w:p w:rsidR="000348F8" w:rsidRDefault="000348F8" w:rsidP="000348F8">
      <w:pPr>
        <w:pStyle w:val="a3"/>
        <w:spacing w:before="0" w:beforeAutospacing="0" w:after="0" w:afterAutospacing="0" w:line="480" w:lineRule="atLeast"/>
        <w:ind w:left="1005"/>
      </w:pPr>
      <w:r>
        <w:rPr>
          <w:rStyle w:val="a4"/>
          <w:rFonts w:ascii="仿宋" w:eastAsia="仿宋" w:hAnsi="仿宋" w:hint="eastAsia"/>
          <w:color w:val="000000"/>
          <w:sz w:val="30"/>
          <w:szCs w:val="30"/>
        </w:rPr>
        <w:t>一、基本原则</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以导师和学科之间适度竞争激发生源质量提升的内在动力，坚持质量第一、全面衡量、择优录取、宁缺毋滥的原则。</w:t>
      </w:r>
    </w:p>
    <w:p w:rsidR="000348F8" w:rsidRDefault="000348F8" w:rsidP="000348F8">
      <w:pPr>
        <w:pStyle w:val="a3"/>
        <w:spacing w:after="0" w:afterAutospacing="0" w:line="480" w:lineRule="atLeast"/>
        <w:ind w:firstLine="600"/>
      </w:pPr>
      <w:r>
        <w:rPr>
          <w:rStyle w:val="a4"/>
          <w:rFonts w:ascii="仿宋" w:eastAsia="仿宋" w:hAnsi="仿宋" w:hint="eastAsia"/>
          <w:color w:val="000000"/>
          <w:sz w:val="30"/>
          <w:szCs w:val="30"/>
        </w:rPr>
        <w:t>二、招生方式</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本方案中招收直接攻读博士学位研究生是指从国内已获得推荐免试攻读硕士学位研究生资格的优秀应届本科毕业生中选拔直接取得博士研究生入学资格的招生方式。</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各专业只招收以脱产方式学习的全日制非定向博士生，学制为5年。所有拟录取的考生须在规定时间内将人事档案转入我校研究生招生办公室，否则取消录取资格。</w:t>
      </w:r>
    </w:p>
    <w:p w:rsidR="000348F8" w:rsidRDefault="000348F8" w:rsidP="000348F8">
      <w:pPr>
        <w:pStyle w:val="a3"/>
        <w:spacing w:after="0" w:afterAutospacing="0" w:line="480" w:lineRule="atLeast"/>
        <w:ind w:firstLine="600"/>
      </w:pPr>
      <w:r>
        <w:rPr>
          <w:rStyle w:val="a4"/>
          <w:rFonts w:ascii="仿宋" w:eastAsia="仿宋" w:hAnsi="仿宋" w:hint="eastAsia"/>
          <w:color w:val="000000"/>
          <w:sz w:val="30"/>
          <w:szCs w:val="30"/>
        </w:rPr>
        <w:t>三、招生专业及拟招人数</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lastRenderedPageBreak/>
        <w:t>招收“直博生”的专业为我校具有博士学位授权的部分一级学科招生专业，招生人数不超过本学科上一年度招生人数的20%,招生专业详见附表1。</w:t>
      </w:r>
    </w:p>
    <w:p w:rsidR="000348F8" w:rsidRDefault="000348F8" w:rsidP="000348F8">
      <w:pPr>
        <w:pStyle w:val="a3"/>
        <w:spacing w:after="0" w:afterAutospacing="0" w:line="480" w:lineRule="atLeast"/>
        <w:ind w:firstLine="600"/>
      </w:pPr>
      <w:r>
        <w:rPr>
          <w:rStyle w:val="a4"/>
          <w:rFonts w:ascii="仿宋" w:eastAsia="仿宋" w:hAnsi="仿宋" w:hint="eastAsia"/>
          <w:color w:val="000000"/>
          <w:sz w:val="30"/>
          <w:szCs w:val="30"/>
        </w:rPr>
        <w:t>四、申请条件</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（一）拥护中国共产党的领导，具有正确的政治方向，热爱祖国，愿意为社会主义现代化建设服务，遵纪守法，品行端正。</w:t>
      </w:r>
    </w:p>
    <w:p w:rsidR="000348F8" w:rsidRDefault="000348F8" w:rsidP="000348F8">
      <w:pPr>
        <w:pStyle w:val="a3"/>
        <w:spacing w:after="0" w:afterAutospacing="0" w:line="480" w:lineRule="atLeast"/>
        <w:ind w:firstLine="630"/>
      </w:pPr>
      <w:r>
        <w:rPr>
          <w:rFonts w:ascii="仿宋" w:eastAsia="仿宋" w:hAnsi="仿宋" w:hint="eastAsia"/>
          <w:color w:val="000000"/>
          <w:sz w:val="30"/>
          <w:szCs w:val="30"/>
        </w:rPr>
        <w:t>（二）申请者为已获得推荐免试攻读硕士学位研究生资格的应届本科毕业生。</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（三）学习成绩优秀，对学术研究有浓厚兴趣，具有较强创新精神和科研能力。在校期间曾参加科学研究、全国学术竞赛等活动，表现突出者优先考虑。</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（四）具有较强的语言能力，外语水平较高，并必须提供相应的英语成绩证明（具体要求见个人申请需提交材料的第（6）项）。</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（五）体检合格。体检要求参照教育部、卫生部、中国残联印发的《普通高等学校招生体检工作指导意见》（教学〔2003〕3号）以及《教育部办公厅 卫生部办公厅关于普通高等学校招生学生入学身体检查取消乙肝项目检测有关问题的通知》（教学厅〔2010〕2号）的规定执行。</w:t>
      </w:r>
    </w:p>
    <w:p w:rsidR="000348F8" w:rsidRDefault="000348F8" w:rsidP="000348F8">
      <w:pPr>
        <w:pStyle w:val="a3"/>
        <w:spacing w:after="0" w:afterAutospacing="0" w:line="480" w:lineRule="atLeast"/>
        <w:ind w:firstLine="630"/>
      </w:pPr>
      <w:r>
        <w:rPr>
          <w:rFonts w:ascii="仿宋" w:eastAsia="仿宋" w:hAnsi="仿宋" w:hint="eastAsia"/>
          <w:color w:val="000000"/>
          <w:sz w:val="30"/>
          <w:szCs w:val="30"/>
        </w:rPr>
        <w:lastRenderedPageBreak/>
        <w:t>（六）符合招生学院制定的实施细则的申请条件。</w:t>
      </w:r>
    </w:p>
    <w:p w:rsidR="000348F8" w:rsidRDefault="000348F8" w:rsidP="000348F8">
      <w:pPr>
        <w:pStyle w:val="a3"/>
        <w:spacing w:after="0" w:afterAutospacing="0" w:line="480" w:lineRule="atLeast"/>
        <w:ind w:firstLine="480"/>
      </w:pPr>
      <w:r>
        <w:rPr>
          <w:rStyle w:val="a4"/>
          <w:rFonts w:ascii="仿宋" w:eastAsia="仿宋" w:hAnsi="仿宋" w:hint="eastAsia"/>
          <w:color w:val="000000"/>
          <w:sz w:val="30"/>
          <w:szCs w:val="30"/>
        </w:rPr>
        <w:t>五、选拔流程</w:t>
      </w:r>
    </w:p>
    <w:p w:rsidR="000348F8" w:rsidRDefault="000348F8" w:rsidP="000348F8">
      <w:pPr>
        <w:pStyle w:val="a3"/>
        <w:spacing w:after="0" w:afterAutospacing="0" w:line="480" w:lineRule="atLeast"/>
        <w:ind w:firstLine="480"/>
      </w:pPr>
      <w:r>
        <w:rPr>
          <w:rStyle w:val="a4"/>
          <w:rFonts w:ascii="仿宋" w:eastAsia="仿宋" w:hAnsi="仿宋" w:hint="eastAsia"/>
          <w:color w:val="000000"/>
          <w:sz w:val="30"/>
          <w:szCs w:val="30"/>
        </w:rPr>
        <w:t>（一）个人申请</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1．提交材料。申请者须于各招生学院规定时间前（以邮戳为准）使用顺丰快递以下材料至各招生学院：</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（1）《曲阜师范大学招收优秀应届本科生直接攻读博士学位研究生申请表》</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（2）在读证明原件或学生证复印件（应含学生个人信息、照片及注册情况）；</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（3）课程成绩单原件（需加盖学校成绩管理部门公章）；</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（4）两位或两位以上与所申请学科专业领域内的教授（或相当专业技术职称的专家）的书面推荐书（推荐书需使用我校提供的模板）；</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（5）提交拟攻读博士学位的科学研究计划书（不少于3000字，见申请表）；</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（6）须至少提供以下其中一项英语成绩证明：</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（a）通过国家六级（六级成绩达到425分）或国家四级（四级成绩达到425分）；（b）托福（TOEFL）成绩达到75分以上</w:t>
      </w:r>
      <w:r>
        <w:rPr>
          <w:rFonts w:ascii="仿宋" w:eastAsia="仿宋" w:hAnsi="仿宋" w:hint="eastAsia"/>
          <w:color w:val="000000"/>
          <w:sz w:val="30"/>
          <w:szCs w:val="30"/>
        </w:rPr>
        <w:lastRenderedPageBreak/>
        <w:t>（老TOEFL达到550分）；（c）雅思（IELTS）成绩达到6分以上；（d）PETS5级合格证；（e）GRE1200分以上（新标准310分以上）。</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（7）获奖证书复印件、公开发表的学术论文复印件、所获专利及其他原创性研究成果的证明材料；</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（8）三级甲等医院出具的体格检查合格证明；</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（9）第二代身份证正反面复印件；</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（10）《曲阜师范大学2023年博士研究生政审表》，由本人及所在学院党委填写。</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2．网上报名。申请者应根据《曲阜师范大学2023年接收推荐免试硕士研究生工作办法》规定的申请程序，9月28日-10月18日期间在中国研究生招生信息网（以下简称研招网）的“推免服务系统”填报招收直博生专业的志愿。此外拟录取者还应按当年度博士招生工作中规定的时间履行博士生网上报名手续。</w:t>
      </w:r>
    </w:p>
    <w:p w:rsidR="000348F8" w:rsidRDefault="000348F8" w:rsidP="000348F8">
      <w:pPr>
        <w:pStyle w:val="a3"/>
        <w:spacing w:after="0" w:afterAutospacing="0" w:line="480" w:lineRule="atLeast"/>
        <w:ind w:firstLine="480"/>
      </w:pPr>
      <w:r>
        <w:rPr>
          <w:rStyle w:val="a4"/>
          <w:rFonts w:ascii="仿宋" w:eastAsia="仿宋" w:hAnsi="仿宋" w:hint="eastAsia"/>
          <w:color w:val="000000"/>
          <w:sz w:val="30"/>
          <w:szCs w:val="30"/>
        </w:rPr>
        <w:t>（二）学科点资格审查</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招生学院在收到申请者的材料后，组织不少于3人对照报考条件进行申请资格审查，并将审查结果对社会公示。</w:t>
      </w:r>
    </w:p>
    <w:p w:rsidR="000348F8" w:rsidRDefault="000348F8" w:rsidP="000348F8">
      <w:pPr>
        <w:pStyle w:val="a3"/>
        <w:spacing w:after="0" w:afterAutospacing="0" w:line="480" w:lineRule="atLeast"/>
        <w:ind w:firstLine="480"/>
      </w:pPr>
      <w:r>
        <w:rPr>
          <w:rStyle w:val="a4"/>
          <w:rFonts w:ascii="仿宋" w:eastAsia="仿宋" w:hAnsi="仿宋" w:hint="eastAsia"/>
          <w:color w:val="000000"/>
          <w:sz w:val="30"/>
          <w:szCs w:val="30"/>
        </w:rPr>
        <w:t>（三）学科初审，确定考核名单</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lastRenderedPageBreak/>
        <w:t>招生学院组成学科专家组根据学科所制定的相关实施细则，对申请者的材料进行认真审查，并对申请者的科研创新能力进行初步评价，进行筛选。学科点结合申请者所报考导师的意向，按一定的差额复试比例，确定进入复试（面试）考核阶段的申请者名单。拟进入面试考核阶段申请者名单在招生学院网站进行公示。</w:t>
      </w:r>
    </w:p>
    <w:p w:rsidR="000348F8" w:rsidRDefault="000348F8" w:rsidP="000348F8">
      <w:pPr>
        <w:pStyle w:val="a3"/>
        <w:spacing w:after="0" w:afterAutospacing="0" w:line="480" w:lineRule="atLeast"/>
        <w:ind w:firstLine="600"/>
      </w:pPr>
      <w:r>
        <w:rPr>
          <w:rStyle w:val="a4"/>
          <w:rFonts w:ascii="仿宋" w:eastAsia="仿宋" w:hAnsi="仿宋" w:hint="eastAsia"/>
          <w:color w:val="000000"/>
          <w:sz w:val="30"/>
          <w:szCs w:val="30"/>
        </w:rPr>
        <w:t>(四)学科考核</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学科点组织专家进行面试考核，具体时间、地点应提前通知考生，并对外公布，考核具体要求如下：</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1.考核内容包括外语水平、专业素质和研究潜力三部分，重点考核申请者科研创新能力和是否具备本一级学科博士生培养的潜能和素质等。此外，还应对申请者的思想政治、心理、道德品质等综合素质进行考核。</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2.考核过程中，每位申请者需展示个人简介、学习成绩、课题研究、科研成果、拟攻读博士学位期间的研究计划等。招生导师可补充介绍相关情况，但在讨论打分时须回避。</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3.考核过程要规范，面试时间不少于20分钟，要有现场记录，成绩和评语。考核过程须全程录像备查，研究生处/纪委认为必要时可派人旁听。</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lastRenderedPageBreak/>
        <w:t>4.2022年10月18日前，学科点根据考核成绩从高到低排序向学校提交拟录取名单，并上报相关材料到研招办（申请材料、考核记录表及录音录像等）。</w:t>
      </w:r>
    </w:p>
    <w:p w:rsidR="000348F8" w:rsidRDefault="000348F8" w:rsidP="000348F8">
      <w:pPr>
        <w:pStyle w:val="a3"/>
        <w:spacing w:after="0" w:afterAutospacing="0" w:line="480" w:lineRule="atLeast"/>
        <w:ind w:firstLine="600"/>
      </w:pPr>
      <w:r>
        <w:rPr>
          <w:rStyle w:val="a4"/>
          <w:rFonts w:ascii="仿宋" w:eastAsia="仿宋" w:hAnsi="仿宋" w:hint="eastAsia"/>
          <w:color w:val="000000"/>
          <w:sz w:val="30"/>
          <w:szCs w:val="30"/>
        </w:rPr>
        <w:t>(五)学校研究生招生工作领导小组审核</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学校研究生招生工作领导小组审核申请者的申请材料、学科考核材料及学科点推荐意见等。在各招生专业的直博生招生指标限额以内，审核通过者须在规定时间内，在研招网“推免服务系统”按要求及时接受待录取通知。如个别专业直博生招生指标未用完，学校收回后将根据各专业报考情况统筹使用。最终拟录取名单按教育部招生相关规定公示10个工作日。</w:t>
      </w:r>
    </w:p>
    <w:p w:rsidR="000348F8" w:rsidRDefault="000348F8" w:rsidP="000348F8">
      <w:pPr>
        <w:pStyle w:val="a3"/>
        <w:spacing w:after="0" w:afterAutospacing="0" w:line="480" w:lineRule="atLeast"/>
        <w:ind w:firstLine="600"/>
      </w:pPr>
      <w:r>
        <w:rPr>
          <w:rStyle w:val="a4"/>
          <w:rFonts w:ascii="仿宋" w:eastAsia="仿宋" w:hAnsi="仿宋" w:hint="eastAsia"/>
          <w:color w:val="000000"/>
          <w:sz w:val="30"/>
          <w:szCs w:val="30"/>
        </w:rPr>
        <w:t>六、监督机制</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一）信息公开。“直博生”招生方式，要根据教育部有关信息公开的要求，做到信息采集准确、公开程序规范、内容发布及时。研究生处和各招生学院按照工作分工，主动公开招生政策、招生工作办法、招生计划、招生专业目录、申请者申请资格、申请程序、录取结果、咨询及申诉渠道、重大违规事件及处理结果。招生学院要及时在本单位网站向社会公布相关实施细则，及招生人数和参加考核的所有申请者的相关信息。拟录取名单公示期间名单如有变动，须对变动部分做出专门说明，并对变动内容另行公示10个工作日。未经公示的申请者不得录取。</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lastRenderedPageBreak/>
        <w:t>（二）申请者应如实提供申请材料。如发现申请者提交虚假材料、作弊或有其它违纪行为的，依情节严重根据国家有关法律、法规和教育部有关规定，将给予严肃处理，由此造成不能录取或其他相关后果的，由申请者本人承担。</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（三）学科专家组及面试考核专家组成员须遵守学术、职业道德规范。对出现问题的招生学和个人，将视具体情节给予削减招生计划、暂停招生、撤销导师资格、通报批评等处理。</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（四）研究生处与学校</w:t>
      </w:r>
      <w:r>
        <w:rPr>
          <w:rFonts w:ascii="仿宋" w:eastAsia="仿宋" w:hAnsi="仿宋" w:hint="eastAsia"/>
          <w:sz w:val="29"/>
          <w:szCs w:val="29"/>
        </w:rPr>
        <w:t>纪委案件管理室</w:t>
      </w:r>
      <w:r>
        <w:rPr>
          <w:rFonts w:ascii="仿宋" w:eastAsia="仿宋" w:hAnsi="仿宋" w:hint="eastAsia"/>
          <w:color w:val="000000"/>
          <w:sz w:val="30"/>
          <w:szCs w:val="30"/>
        </w:rPr>
        <w:t>设立招生违规举报电话及邮箱如下：</w:t>
      </w:r>
    </w:p>
    <w:p w:rsidR="000348F8" w:rsidRDefault="000348F8" w:rsidP="000348F8">
      <w:pPr>
        <w:pStyle w:val="a3"/>
        <w:spacing w:after="0" w:afterAutospacing="0" w:line="480" w:lineRule="atLeast"/>
        <w:ind w:firstLine="480"/>
      </w:pPr>
      <w:r>
        <w:rPr>
          <w:rFonts w:ascii="仿宋" w:eastAsia="仿宋" w:hAnsi="仿宋" w:hint="eastAsia"/>
          <w:color w:val="000000"/>
          <w:sz w:val="30"/>
          <w:szCs w:val="30"/>
        </w:rPr>
        <w:t>监督电话：</w:t>
      </w:r>
      <w:r>
        <w:rPr>
          <w:rFonts w:ascii="仿宋" w:eastAsia="仿宋" w:hAnsi="仿宋" w:hint="eastAsia"/>
          <w:sz w:val="29"/>
          <w:szCs w:val="29"/>
        </w:rPr>
        <w:t>0537-4455668、4455662</w:t>
      </w:r>
      <w:r>
        <w:rPr>
          <w:rFonts w:ascii="仿宋" w:eastAsia="仿宋" w:hAnsi="仿宋" w:hint="eastAsia"/>
          <w:color w:val="000000"/>
          <w:sz w:val="30"/>
          <w:szCs w:val="30"/>
        </w:rPr>
        <w:t>（纪委）、</w:t>
      </w:r>
      <w:r>
        <w:rPr>
          <w:rFonts w:ascii="仿宋" w:eastAsia="仿宋" w:hAnsi="仿宋" w:hint="eastAsia"/>
          <w:sz w:val="29"/>
          <w:szCs w:val="29"/>
        </w:rPr>
        <w:t>0537-4455327</w:t>
      </w:r>
      <w:r>
        <w:rPr>
          <w:rFonts w:ascii="仿宋" w:eastAsia="仿宋" w:hAnsi="仿宋" w:hint="eastAsia"/>
          <w:color w:val="000000"/>
          <w:sz w:val="30"/>
          <w:szCs w:val="30"/>
        </w:rPr>
        <w:t>（研招办）；E-mail：</w:t>
      </w:r>
      <w:hyperlink r:id="rId6" w:history="1">
        <w:r>
          <w:rPr>
            <w:rStyle w:val="a5"/>
            <w:rFonts w:ascii="仿宋" w:eastAsia="仿宋" w:hAnsi="仿宋" w:hint="eastAsia"/>
            <w:sz w:val="29"/>
            <w:szCs w:val="29"/>
          </w:rPr>
          <w:t>qfnuyzb01@126.com</w:t>
        </w:r>
      </w:hyperlink>
      <w:r>
        <w:rPr>
          <w:rFonts w:ascii="仿宋" w:eastAsia="仿宋" w:hAnsi="仿宋" w:hint="eastAsia"/>
          <w:color w:val="000000"/>
          <w:sz w:val="30"/>
          <w:szCs w:val="30"/>
        </w:rPr>
        <w:t>（研招办）。</w:t>
      </w:r>
    </w:p>
    <w:p w:rsidR="000348F8" w:rsidRDefault="000348F8" w:rsidP="000348F8">
      <w:pPr>
        <w:pStyle w:val="a3"/>
        <w:spacing w:after="0" w:afterAutospacing="0" w:line="480" w:lineRule="atLeast"/>
        <w:ind w:firstLine="600"/>
      </w:pPr>
      <w:r>
        <w:rPr>
          <w:rStyle w:val="a4"/>
          <w:rFonts w:ascii="仿宋" w:eastAsia="仿宋" w:hAnsi="仿宋" w:hint="eastAsia"/>
          <w:color w:val="000000"/>
          <w:sz w:val="30"/>
          <w:szCs w:val="30"/>
        </w:rPr>
        <w:t>七、其他说明</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（一）各招生学院应依据本方案制定各学科相关实施细则，要求以本单位文件形式印发并于9月27日前报研究生处备案，并向考生和社会公布；</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（二）招收“直博生”的博士生导师为通过当年度博士生导师招生资格审核的博导，每位博导原则上每年只招收1名直博生，招生名额列入所在招生专业的年度招生总指标；</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lastRenderedPageBreak/>
        <w:t>（三）“直博生”入学后适用博士研究生的管理规章制度，享受博士研究生的同等待遇，履行博士研究生的相关义务。</w:t>
      </w:r>
    </w:p>
    <w:p w:rsidR="000348F8" w:rsidRDefault="000348F8" w:rsidP="000348F8">
      <w:pPr>
        <w:pStyle w:val="a3"/>
        <w:spacing w:after="0" w:afterAutospacing="0" w:line="480" w:lineRule="atLeast"/>
        <w:ind w:firstLine="600"/>
      </w:pPr>
      <w:r>
        <w:rPr>
          <w:rFonts w:ascii="仿宋" w:eastAsia="仿宋" w:hAnsi="仿宋" w:hint="eastAsia"/>
          <w:color w:val="000000"/>
          <w:sz w:val="30"/>
          <w:szCs w:val="30"/>
        </w:rPr>
        <w:t>（四）本方案未尽事宜请遵照当年度博士研究生招生简章及相关文件执行。</w:t>
      </w:r>
      <w:r>
        <w:t xml:space="preserve">                                          </w:t>
      </w:r>
    </w:p>
    <w:p w:rsidR="000348F8" w:rsidRDefault="000348F8" w:rsidP="000348F8">
      <w:pPr>
        <w:pStyle w:val="a3"/>
      </w:pPr>
    </w:p>
    <w:p w:rsidR="000348F8" w:rsidRDefault="000348F8" w:rsidP="000348F8">
      <w:pPr>
        <w:pStyle w:val="a3"/>
      </w:pPr>
      <w:r>
        <w:rPr>
          <w:rFonts w:ascii="仿宋" w:eastAsia="仿宋" w:hAnsi="仿宋" w:hint="eastAsia"/>
          <w:color w:val="000000"/>
          <w:sz w:val="30"/>
          <w:szCs w:val="30"/>
        </w:rPr>
        <w:t>附表1：招收“直博生”的专业目录及人数</w:t>
      </w:r>
    </w:p>
    <w:p w:rsidR="000348F8" w:rsidRDefault="000348F8" w:rsidP="000348F8">
      <w:pPr>
        <w:pStyle w:val="a3"/>
      </w:pPr>
    </w:p>
    <w:tbl>
      <w:tblPr>
        <w:tblW w:w="3000" w:type="dxa"/>
        <w:jc w:val="center"/>
        <w:tblCellSpacing w:w="0" w:type="dxa"/>
        <w:tblCellMar>
          <w:left w:w="0" w:type="dxa"/>
          <w:right w:w="0" w:type="dxa"/>
        </w:tblCellMar>
        <w:tblLook w:val="04A0" w:firstRow="1" w:lastRow="0" w:firstColumn="1" w:lastColumn="0" w:noHBand="0" w:noVBand="1"/>
      </w:tblPr>
      <w:tblGrid>
        <w:gridCol w:w="1170"/>
        <w:gridCol w:w="1215"/>
        <w:gridCol w:w="1599"/>
      </w:tblGrid>
      <w:tr w:rsidR="000348F8" w:rsidTr="000348F8">
        <w:trPr>
          <w:trHeight w:val="336"/>
          <w:tblCellSpacing w:w="0" w:type="dxa"/>
          <w:jc w:val="center"/>
        </w:trPr>
        <w:tc>
          <w:tcPr>
            <w:tcW w:w="1140"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Style w:val="a4"/>
                <w:rFonts w:ascii="仿宋" w:eastAsia="仿宋" w:hAnsi="仿宋" w:hint="eastAsia"/>
              </w:rPr>
              <w:t>专业代码</w:t>
            </w:r>
          </w:p>
        </w:tc>
        <w:tc>
          <w:tcPr>
            <w:tcW w:w="120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Style w:val="a4"/>
                <w:rFonts w:ascii="仿宋" w:eastAsia="仿宋" w:hAnsi="仿宋" w:hint="eastAsia"/>
              </w:rPr>
              <w:t>专业名称</w:t>
            </w:r>
          </w:p>
        </w:tc>
        <w:tc>
          <w:tcPr>
            <w:tcW w:w="1584"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Style w:val="a4"/>
                <w:rFonts w:ascii="仿宋" w:eastAsia="仿宋" w:hAnsi="仿宋" w:hint="eastAsia"/>
              </w:rPr>
              <w:t>“直博生”计划</w:t>
            </w:r>
          </w:p>
        </w:tc>
      </w:tr>
      <w:tr w:rsidR="000348F8" w:rsidTr="000348F8">
        <w:trPr>
          <w:trHeight w:val="216"/>
          <w:tblCellSpacing w:w="0" w:type="dxa"/>
          <w:jc w:val="center"/>
        </w:trPr>
        <w:tc>
          <w:tcPr>
            <w:tcW w:w="114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050100</w:t>
            </w:r>
          </w:p>
        </w:tc>
        <w:tc>
          <w:tcPr>
            <w:tcW w:w="120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中国语言文学</w:t>
            </w:r>
          </w:p>
        </w:tc>
        <w:tc>
          <w:tcPr>
            <w:tcW w:w="158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Fonts w:ascii="仿宋" w:eastAsia="仿宋" w:hAnsi="仿宋" w:hint="eastAsia"/>
              </w:rPr>
              <w:t>1</w:t>
            </w:r>
          </w:p>
        </w:tc>
      </w:tr>
      <w:tr w:rsidR="000348F8" w:rsidTr="000348F8">
        <w:trPr>
          <w:trHeight w:val="216"/>
          <w:tblCellSpacing w:w="0" w:type="dxa"/>
          <w:jc w:val="center"/>
        </w:trPr>
        <w:tc>
          <w:tcPr>
            <w:tcW w:w="114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010100</w:t>
            </w:r>
          </w:p>
        </w:tc>
        <w:tc>
          <w:tcPr>
            <w:tcW w:w="120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哲学</w:t>
            </w:r>
          </w:p>
        </w:tc>
        <w:tc>
          <w:tcPr>
            <w:tcW w:w="158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Fonts w:ascii="仿宋" w:eastAsia="仿宋" w:hAnsi="仿宋" w:hint="eastAsia"/>
              </w:rPr>
              <w:t>1</w:t>
            </w:r>
          </w:p>
        </w:tc>
      </w:tr>
      <w:tr w:rsidR="000348F8" w:rsidTr="000348F8">
        <w:trPr>
          <w:trHeight w:val="216"/>
          <w:tblCellSpacing w:w="0" w:type="dxa"/>
          <w:jc w:val="center"/>
        </w:trPr>
        <w:tc>
          <w:tcPr>
            <w:tcW w:w="114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060200</w:t>
            </w:r>
          </w:p>
        </w:tc>
        <w:tc>
          <w:tcPr>
            <w:tcW w:w="120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中国史</w:t>
            </w:r>
          </w:p>
        </w:tc>
        <w:tc>
          <w:tcPr>
            <w:tcW w:w="158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Fonts w:ascii="仿宋" w:eastAsia="仿宋" w:hAnsi="仿宋" w:hint="eastAsia"/>
              </w:rPr>
              <w:t>1</w:t>
            </w:r>
          </w:p>
        </w:tc>
      </w:tr>
      <w:tr w:rsidR="000348F8" w:rsidTr="000348F8">
        <w:trPr>
          <w:trHeight w:val="216"/>
          <w:tblCellSpacing w:w="0" w:type="dxa"/>
          <w:jc w:val="center"/>
        </w:trPr>
        <w:tc>
          <w:tcPr>
            <w:tcW w:w="114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030500</w:t>
            </w:r>
          </w:p>
        </w:tc>
        <w:tc>
          <w:tcPr>
            <w:tcW w:w="120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马克思主义理论</w:t>
            </w:r>
          </w:p>
        </w:tc>
        <w:tc>
          <w:tcPr>
            <w:tcW w:w="158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Fonts w:ascii="仿宋" w:eastAsia="仿宋" w:hAnsi="仿宋" w:hint="eastAsia"/>
              </w:rPr>
              <w:t>1</w:t>
            </w:r>
          </w:p>
        </w:tc>
      </w:tr>
      <w:tr w:rsidR="000348F8" w:rsidTr="000348F8">
        <w:trPr>
          <w:trHeight w:val="216"/>
          <w:tblCellSpacing w:w="0" w:type="dxa"/>
          <w:jc w:val="center"/>
        </w:trPr>
        <w:tc>
          <w:tcPr>
            <w:tcW w:w="114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040100</w:t>
            </w:r>
          </w:p>
        </w:tc>
        <w:tc>
          <w:tcPr>
            <w:tcW w:w="120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教育学</w:t>
            </w:r>
          </w:p>
        </w:tc>
        <w:tc>
          <w:tcPr>
            <w:tcW w:w="158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Fonts w:ascii="仿宋" w:eastAsia="仿宋" w:hAnsi="仿宋" w:hint="eastAsia"/>
              </w:rPr>
              <w:t>1</w:t>
            </w:r>
          </w:p>
        </w:tc>
      </w:tr>
      <w:tr w:rsidR="000348F8" w:rsidTr="000348F8">
        <w:trPr>
          <w:trHeight w:val="216"/>
          <w:tblCellSpacing w:w="0" w:type="dxa"/>
          <w:jc w:val="center"/>
        </w:trPr>
        <w:tc>
          <w:tcPr>
            <w:tcW w:w="114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040300</w:t>
            </w:r>
          </w:p>
        </w:tc>
        <w:tc>
          <w:tcPr>
            <w:tcW w:w="120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体育学</w:t>
            </w:r>
          </w:p>
        </w:tc>
        <w:tc>
          <w:tcPr>
            <w:tcW w:w="158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Fonts w:ascii="仿宋" w:eastAsia="仿宋" w:hAnsi="仿宋" w:hint="eastAsia"/>
              </w:rPr>
              <w:t>1</w:t>
            </w:r>
          </w:p>
        </w:tc>
      </w:tr>
      <w:tr w:rsidR="000348F8" w:rsidTr="000348F8">
        <w:trPr>
          <w:trHeight w:val="216"/>
          <w:tblCellSpacing w:w="0" w:type="dxa"/>
          <w:jc w:val="center"/>
        </w:trPr>
        <w:tc>
          <w:tcPr>
            <w:tcW w:w="114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070100</w:t>
            </w:r>
          </w:p>
        </w:tc>
        <w:tc>
          <w:tcPr>
            <w:tcW w:w="120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数学</w:t>
            </w:r>
          </w:p>
        </w:tc>
        <w:tc>
          <w:tcPr>
            <w:tcW w:w="158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Fonts w:ascii="仿宋" w:eastAsia="仿宋" w:hAnsi="仿宋" w:hint="eastAsia"/>
              </w:rPr>
              <w:t>1</w:t>
            </w:r>
          </w:p>
        </w:tc>
      </w:tr>
      <w:tr w:rsidR="000348F8" w:rsidTr="000348F8">
        <w:trPr>
          <w:trHeight w:val="216"/>
          <w:tblCellSpacing w:w="0" w:type="dxa"/>
          <w:jc w:val="center"/>
        </w:trPr>
        <w:tc>
          <w:tcPr>
            <w:tcW w:w="114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070200</w:t>
            </w:r>
          </w:p>
        </w:tc>
        <w:tc>
          <w:tcPr>
            <w:tcW w:w="120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物理学</w:t>
            </w:r>
          </w:p>
        </w:tc>
        <w:tc>
          <w:tcPr>
            <w:tcW w:w="158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Fonts w:ascii="仿宋" w:eastAsia="仿宋" w:hAnsi="仿宋" w:hint="eastAsia"/>
              </w:rPr>
              <w:t>1</w:t>
            </w:r>
          </w:p>
        </w:tc>
      </w:tr>
      <w:tr w:rsidR="000348F8" w:rsidTr="000348F8">
        <w:trPr>
          <w:trHeight w:val="216"/>
          <w:tblCellSpacing w:w="0" w:type="dxa"/>
          <w:jc w:val="center"/>
        </w:trPr>
        <w:tc>
          <w:tcPr>
            <w:tcW w:w="114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071300</w:t>
            </w:r>
          </w:p>
        </w:tc>
        <w:tc>
          <w:tcPr>
            <w:tcW w:w="120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生态学</w:t>
            </w:r>
          </w:p>
        </w:tc>
        <w:tc>
          <w:tcPr>
            <w:tcW w:w="158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Fonts w:ascii="仿宋" w:eastAsia="仿宋" w:hAnsi="仿宋" w:hint="eastAsia"/>
              </w:rPr>
              <w:t>1</w:t>
            </w:r>
          </w:p>
        </w:tc>
      </w:tr>
      <w:tr w:rsidR="000348F8" w:rsidTr="000348F8">
        <w:trPr>
          <w:trHeight w:val="216"/>
          <w:tblCellSpacing w:w="0" w:type="dxa"/>
          <w:jc w:val="center"/>
        </w:trPr>
        <w:tc>
          <w:tcPr>
            <w:tcW w:w="114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071400</w:t>
            </w:r>
          </w:p>
        </w:tc>
        <w:tc>
          <w:tcPr>
            <w:tcW w:w="120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统计学</w:t>
            </w:r>
          </w:p>
        </w:tc>
        <w:tc>
          <w:tcPr>
            <w:tcW w:w="158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Fonts w:ascii="仿宋" w:eastAsia="仿宋" w:hAnsi="仿宋" w:hint="eastAsia"/>
              </w:rPr>
              <w:t>1</w:t>
            </w:r>
          </w:p>
        </w:tc>
      </w:tr>
      <w:tr w:rsidR="000348F8" w:rsidTr="000348F8">
        <w:trPr>
          <w:trHeight w:val="216"/>
          <w:tblCellSpacing w:w="0" w:type="dxa"/>
          <w:jc w:val="center"/>
        </w:trPr>
        <w:tc>
          <w:tcPr>
            <w:tcW w:w="114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081100</w:t>
            </w:r>
          </w:p>
        </w:tc>
        <w:tc>
          <w:tcPr>
            <w:tcW w:w="120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pPr>
            <w:r>
              <w:rPr>
                <w:rFonts w:ascii="仿宋" w:eastAsia="仿宋" w:hAnsi="仿宋" w:hint="eastAsia"/>
              </w:rPr>
              <w:t>控制科学与工程</w:t>
            </w:r>
          </w:p>
        </w:tc>
        <w:tc>
          <w:tcPr>
            <w:tcW w:w="158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0348F8" w:rsidRDefault="000348F8">
            <w:pPr>
              <w:pStyle w:val="a3"/>
              <w:jc w:val="center"/>
            </w:pPr>
            <w:r>
              <w:rPr>
                <w:rFonts w:ascii="仿宋" w:eastAsia="仿宋" w:hAnsi="仿宋" w:hint="eastAsia"/>
              </w:rPr>
              <w:t>1</w:t>
            </w:r>
          </w:p>
        </w:tc>
      </w:tr>
    </w:tbl>
    <w:p w:rsidR="000348F8" w:rsidRDefault="000348F8" w:rsidP="000348F8">
      <w:pPr>
        <w:pStyle w:val="a3"/>
      </w:pPr>
    </w:p>
    <w:p w:rsidR="000348F8" w:rsidRDefault="000348F8" w:rsidP="000348F8">
      <w:pPr>
        <w:pStyle w:val="a3"/>
      </w:pPr>
    </w:p>
    <w:p w:rsidR="006669AF" w:rsidRPr="000348F8" w:rsidRDefault="006669AF" w:rsidP="000348F8"/>
    <w:sectPr w:rsidR="006669AF" w:rsidRPr="000348F8" w:rsidSect="00C513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64A" w:rsidRDefault="00B0164A" w:rsidP="004F54D9">
      <w:r>
        <w:separator/>
      </w:r>
    </w:p>
  </w:endnote>
  <w:endnote w:type="continuationSeparator" w:id="0">
    <w:p w:rsidR="00B0164A" w:rsidRDefault="00B0164A" w:rsidP="004F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64A" w:rsidRDefault="00B0164A" w:rsidP="004F54D9">
      <w:r>
        <w:separator/>
      </w:r>
    </w:p>
  </w:footnote>
  <w:footnote w:type="continuationSeparator" w:id="0">
    <w:p w:rsidR="00B0164A" w:rsidRDefault="00B0164A" w:rsidP="004F5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2D80"/>
    <w:rsid w:val="000348F8"/>
    <w:rsid w:val="0005217A"/>
    <w:rsid w:val="000640BA"/>
    <w:rsid w:val="00076F8E"/>
    <w:rsid w:val="000A411D"/>
    <w:rsid w:val="000C7586"/>
    <w:rsid w:val="000E6BF3"/>
    <w:rsid w:val="000F13D3"/>
    <w:rsid w:val="001323E7"/>
    <w:rsid w:val="00166EED"/>
    <w:rsid w:val="001A16D7"/>
    <w:rsid w:val="001D6E8E"/>
    <w:rsid w:val="001E3890"/>
    <w:rsid w:val="001F264E"/>
    <w:rsid w:val="0022107C"/>
    <w:rsid w:val="00226048"/>
    <w:rsid w:val="00274A8B"/>
    <w:rsid w:val="0028250B"/>
    <w:rsid w:val="002B1C58"/>
    <w:rsid w:val="002B5F67"/>
    <w:rsid w:val="0035700D"/>
    <w:rsid w:val="003726BD"/>
    <w:rsid w:val="00372DB9"/>
    <w:rsid w:val="003A7B05"/>
    <w:rsid w:val="00412D80"/>
    <w:rsid w:val="00447A61"/>
    <w:rsid w:val="004922BD"/>
    <w:rsid w:val="004C06FC"/>
    <w:rsid w:val="004D2D47"/>
    <w:rsid w:val="004F54D9"/>
    <w:rsid w:val="005662AC"/>
    <w:rsid w:val="005A5D41"/>
    <w:rsid w:val="005F55D7"/>
    <w:rsid w:val="006669AF"/>
    <w:rsid w:val="00690D79"/>
    <w:rsid w:val="006C53A4"/>
    <w:rsid w:val="006D62CB"/>
    <w:rsid w:val="00725A00"/>
    <w:rsid w:val="007548B8"/>
    <w:rsid w:val="007C3E42"/>
    <w:rsid w:val="007D2AF0"/>
    <w:rsid w:val="007F4BAA"/>
    <w:rsid w:val="008C1152"/>
    <w:rsid w:val="008D03AA"/>
    <w:rsid w:val="008E2623"/>
    <w:rsid w:val="00907634"/>
    <w:rsid w:val="0092232E"/>
    <w:rsid w:val="00932BF8"/>
    <w:rsid w:val="00935F4F"/>
    <w:rsid w:val="009414AE"/>
    <w:rsid w:val="009A01CA"/>
    <w:rsid w:val="009C386F"/>
    <w:rsid w:val="009C3870"/>
    <w:rsid w:val="009E12C8"/>
    <w:rsid w:val="00A87581"/>
    <w:rsid w:val="00AA055C"/>
    <w:rsid w:val="00AA6976"/>
    <w:rsid w:val="00AE0592"/>
    <w:rsid w:val="00B0164A"/>
    <w:rsid w:val="00B01E2E"/>
    <w:rsid w:val="00B113AF"/>
    <w:rsid w:val="00B30672"/>
    <w:rsid w:val="00B516CB"/>
    <w:rsid w:val="00B5486E"/>
    <w:rsid w:val="00B737DC"/>
    <w:rsid w:val="00B95C5B"/>
    <w:rsid w:val="00BA4089"/>
    <w:rsid w:val="00C12FF8"/>
    <w:rsid w:val="00C513E0"/>
    <w:rsid w:val="00CB722C"/>
    <w:rsid w:val="00D22865"/>
    <w:rsid w:val="00D356E7"/>
    <w:rsid w:val="00D409BD"/>
    <w:rsid w:val="00D4372E"/>
    <w:rsid w:val="00D4450F"/>
    <w:rsid w:val="00D62DF6"/>
    <w:rsid w:val="00D95BE5"/>
    <w:rsid w:val="00DF640A"/>
    <w:rsid w:val="00DF6DDD"/>
    <w:rsid w:val="00E15A13"/>
    <w:rsid w:val="00E20269"/>
    <w:rsid w:val="00E63DE1"/>
    <w:rsid w:val="00E838E2"/>
    <w:rsid w:val="00EB463E"/>
    <w:rsid w:val="00EF5985"/>
    <w:rsid w:val="00F350F4"/>
    <w:rsid w:val="00F607B7"/>
    <w:rsid w:val="00F7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E9EE7A-1368-4A1B-BAA1-D6251B51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3E0"/>
    <w:pPr>
      <w:widowControl w:val="0"/>
      <w:jc w:val="both"/>
    </w:pPr>
  </w:style>
  <w:style w:type="paragraph" w:styleId="1">
    <w:name w:val="heading 1"/>
    <w:basedOn w:val="a"/>
    <w:next w:val="a"/>
    <w:link w:val="10"/>
    <w:uiPriority w:val="9"/>
    <w:qFormat/>
    <w:rsid w:val="000348F8"/>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412D8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0348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12D80"/>
    <w:rPr>
      <w:rFonts w:ascii="宋体" w:eastAsia="宋体" w:hAnsi="宋体" w:cs="宋体"/>
      <w:b/>
      <w:bCs/>
      <w:kern w:val="0"/>
      <w:sz w:val="36"/>
      <w:szCs w:val="36"/>
    </w:rPr>
  </w:style>
  <w:style w:type="paragraph" w:styleId="a3">
    <w:name w:val="Normal (Web)"/>
    <w:basedOn w:val="a"/>
    <w:uiPriority w:val="99"/>
    <w:unhideWhenUsed/>
    <w:rsid w:val="00412D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2D80"/>
    <w:rPr>
      <w:b/>
      <w:bCs/>
    </w:rPr>
  </w:style>
  <w:style w:type="character" w:styleId="a5">
    <w:name w:val="Hyperlink"/>
    <w:basedOn w:val="a0"/>
    <w:uiPriority w:val="99"/>
    <w:unhideWhenUsed/>
    <w:rsid w:val="0022107C"/>
    <w:rPr>
      <w:color w:val="0563C1" w:themeColor="hyperlink"/>
      <w:u w:val="single"/>
    </w:rPr>
  </w:style>
  <w:style w:type="paragraph" w:styleId="a6">
    <w:name w:val="header"/>
    <w:basedOn w:val="a"/>
    <w:link w:val="a7"/>
    <w:uiPriority w:val="99"/>
    <w:unhideWhenUsed/>
    <w:rsid w:val="004F54D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F54D9"/>
    <w:rPr>
      <w:sz w:val="18"/>
      <w:szCs w:val="18"/>
    </w:rPr>
  </w:style>
  <w:style w:type="paragraph" w:styleId="a8">
    <w:name w:val="footer"/>
    <w:basedOn w:val="a"/>
    <w:link w:val="a9"/>
    <w:uiPriority w:val="99"/>
    <w:unhideWhenUsed/>
    <w:rsid w:val="004F54D9"/>
    <w:pPr>
      <w:tabs>
        <w:tab w:val="center" w:pos="4153"/>
        <w:tab w:val="right" w:pos="8306"/>
      </w:tabs>
      <w:snapToGrid w:val="0"/>
      <w:jc w:val="left"/>
    </w:pPr>
    <w:rPr>
      <w:sz w:val="18"/>
      <w:szCs w:val="18"/>
    </w:rPr>
  </w:style>
  <w:style w:type="character" w:customStyle="1" w:styleId="a9">
    <w:name w:val="页脚 字符"/>
    <w:basedOn w:val="a0"/>
    <w:link w:val="a8"/>
    <w:uiPriority w:val="99"/>
    <w:rsid w:val="004F54D9"/>
    <w:rPr>
      <w:sz w:val="18"/>
      <w:szCs w:val="18"/>
    </w:rPr>
  </w:style>
  <w:style w:type="character" w:customStyle="1" w:styleId="10">
    <w:name w:val="标题 1 字符"/>
    <w:basedOn w:val="a0"/>
    <w:link w:val="1"/>
    <w:uiPriority w:val="9"/>
    <w:rsid w:val="000348F8"/>
    <w:rPr>
      <w:b/>
      <w:bCs/>
      <w:kern w:val="44"/>
      <w:sz w:val="44"/>
      <w:szCs w:val="44"/>
    </w:rPr>
  </w:style>
  <w:style w:type="character" w:customStyle="1" w:styleId="30">
    <w:name w:val="标题 3 字符"/>
    <w:basedOn w:val="a0"/>
    <w:link w:val="3"/>
    <w:uiPriority w:val="9"/>
    <w:rsid w:val="000348F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34213">
      <w:bodyDiv w:val="1"/>
      <w:marLeft w:val="0"/>
      <w:marRight w:val="0"/>
      <w:marTop w:val="0"/>
      <w:marBottom w:val="0"/>
      <w:divBdr>
        <w:top w:val="none" w:sz="0" w:space="0" w:color="auto"/>
        <w:left w:val="none" w:sz="0" w:space="0" w:color="auto"/>
        <w:bottom w:val="none" w:sz="0" w:space="0" w:color="auto"/>
        <w:right w:val="none" w:sz="0" w:space="0" w:color="auto"/>
      </w:divBdr>
    </w:div>
    <w:div w:id="753472297">
      <w:bodyDiv w:val="1"/>
      <w:marLeft w:val="0"/>
      <w:marRight w:val="0"/>
      <w:marTop w:val="0"/>
      <w:marBottom w:val="0"/>
      <w:divBdr>
        <w:top w:val="none" w:sz="0" w:space="0" w:color="auto"/>
        <w:left w:val="none" w:sz="0" w:space="0" w:color="auto"/>
        <w:bottom w:val="none" w:sz="0" w:space="0" w:color="auto"/>
        <w:right w:val="none" w:sz="0" w:space="0" w:color="auto"/>
      </w:divBdr>
    </w:div>
    <w:div w:id="1516725496">
      <w:bodyDiv w:val="1"/>
      <w:marLeft w:val="0"/>
      <w:marRight w:val="0"/>
      <w:marTop w:val="0"/>
      <w:marBottom w:val="0"/>
      <w:divBdr>
        <w:top w:val="none" w:sz="0" w:space="0" w:color="auto"/>
        <w:left w:val="none" w:sz="0" w:space="0" w:color="auto"/>
        <w:bottom w:val="none" w:sz="0" w:space="0" w:color="auto"/>
        <w:right w:val="none" w:sz="0" w:space="0" w:color="auto"/>
      </w:divBdr>
      <w:divsChild>
        <w:div w:id="690031996">
          <w:marLeft w:val="0"/>
          <w:marRight w:val="0"/>
          <w:marTop w:val="0"/>
          <w:marBottom w:val="0"/>
          <w:divBdr>
            <w:top w:val="none" w:sz="0" w:space="0" w:color="auto"/>
            <w:left w:val="none" w:sz="0" w:space="0" w:color="auto"/>
            <w:bottom w:val="none" w:sz="0" w:space="0" w:color="auto"/>
            <w:right w:val="none" w:sz="0" w:space="0" w:color="auto"/>
          </w:divBdr>
          <w:divsChild>
            <w:div w:id="1687171440">
              <w:marLeft w:val="0"/>
              <w:marRight w:val="0"/>
              <w:marTop w:val="0"/>
              <w:marBottom w:val="0"/>
              <w:divBdr>
                <w:top w:val="none" w:sz="0" w:space="0" w:color="auto"/>
                <w:left w:val="none" w:sz="0" w:space="0" w:color="auto"/>
                <w:bottom w:val="none" w:sz="0" w:space="0" w:color="auto"/>
                <w:right w:val="none" w:sz="0" w:space="0" w:color="auto"/>
              </w:divBdr>
              <w:divsChild>
                <w:div w:id="6931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7183">
      <w:bodyDiv w:val="1"/>
      <w:marLeft w:val="0"/>
      <w:marRight w:val="0"/>
      <w:marTop w:val="0"/>
      <w:marBottom w:val="0"/>
      <w:divBdr>
        <w:top w:val="none" w:sz="0" w:space="0" w:color="auto"/>
        <w:left w:val="none" w:sz="0" w:space="0" w:color="auto"/>
        <w:bottom w:val="none" w:sz="0" w:space="0" w:color="auto"/>
        <w:right w:val="none" w:sz="0" w:space="0" w:color="auto"/>
      </w:divBdr>
    </w:div>
    <w:div w:id="17437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fnuyzb01@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498</Words>
  <Characters>2839</Characters>
  <Application>Microsoft Office Word</Application>
  <DocSecurity>0</DocSecurity>
  <Lines>23</Lines>
  <Paragraphs>6</Paragraphs>
  <ScaleCrop>false</ScaleCrop>
  <Company>Microsoft</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yjspyb</dc:creator>
  <cp:lastModifiedBy>Lenovo</cp:lastModifiedBy>
  <cp:revision>57</cp:revision>
  <dcterms:created xsi:type="dcterms:W3CDTF">2020-09-05T08:04:00Z</dcterms:created>
  <dcterms:modified xsi:type="dcterms:W3CDTF">2022-11-05T04:16:00Z</dcterms:modified>
</cp:coreProperties>
</file>